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D46" w:rsidRPr="00163D46" w:rsidRDefault="00163D46" w:rsidP="00163D46">
      <w:r>
        <w:t>Obowiązkiem będą objęte te d</w:t>
      </w:r>
      <w:r w:rsidRPr="00163D46">
        <w:t>uże jednostki zainteresowania publicznego (JZP)</w:t>
      </w:r>
      <w:r>
        <w:t xml:space="preserve">, które spełnią łącznie </w:t>
      </w:r>
      <w:r w:rsidRPr="00163D46">
        <w:t>następujące kryteria:</w:t>
      </w:r>
    </w:p>
    <w:p w:rsidR="00163D46" w:rsidRPr="00163D46" w:rsidRDefault="00163D46" w:rsidP="00163D46">
      <w:pPr>
        <w:numPr>
          <w:ilvl w:val="0"/>
          <w:numId w:val="2"/>
        </w:numPr>
      </w:pPr>
      <w:r w:rsidRPr="00163D46">
        <w:t xml:space="preserve">średnioroczne zatrudnienie powyżej 500 osób </w:t>
      </w:r>
      <w:r w:rsidRPr="00163D46">
        <w:rPr>
          <w:b/>
        </w:rPr>
        <w:t>oraz</w:t>
      </w:r>
    </w:p>
    <w:p w:rsidR="00163D46" w:rsidRDefault="00163D46" w:rsidP="00163D46">
      <w:pPr>
        <w:numPr>
          <w:ilvl w:val="0"/>
          <w:numId w:val="2"/>
        </w:numPr>
      </w:pPr>
      <w:r w:rsidRPr="00163D46">
        <w:t xml:space="preserve">suma bilansowa powyżej 20 mln EUR </w:t>
      </w:r>
      <w:r w:rsidRPr="00163D46">
        <w:rPr>
          <w:u w:val="single"/>
        </w:rPr>
        <w:t>lub</w:t>
      </w:r>
      <w:r w:rsidRPr="00163D46">
        <w:t xml:space="preserve"> obroty netto powyżej 40 mln EUR.</w:t>
      </w:r>
    </w:p>
    <w:p w:rsidR="00266AD9" w:rsidRDefault="00C8370A" w:rsidP="00163D46">
      <w:pPr>
        <w:jc w:val="both"/>
      </w:pPr>
      <w:r>
        <w:t xml:space="preserve">Ponieważ równocześnie trwają prace legislacyjne nad transpozycją dyrektywy </w:t>
      </w:r>
      <w:proofErr w:type="spellStart"/>
      <w:r>
        <w:t>ws</w:t>
      </w:r>
      <w:proofErr w:type="spellEnd"/>
      <w:r>
        <w:t>. rachunkowości 2013/34/UE, to na chwilę obecna można stwierdzić, że jednostkami traktowanymi jako jednostki zainteresowania publicznego na potrzeby ustawy o rachunkowości będą co najmniej: spółki giełdowe, banki oraz instytucje ubezpieczeniowe.</w:t>
      </w:r>
    </w:p>
    <w:p w:rsidR="00266AD9" w:rsidRDefault="00266AD9" w:rsidP="00163D46">
      <w:pPr>
        <w:jc w:val="both"/>
      </w:pPr>
      <w:bookmarkStart w:id="0" w:name="_GoBack"/>
      <w:bookmarkEnd w:id="0"/>
    </w:p>
    <w:p w:rsidR="00163D46" w:rsidRDefault="00163D46" w:rsidP="00163D46"/>
    <w:p w:rsidR="00163D46" w:rsidRPr="00163D46" w:rsidRDefault="00163D46" w:rsidP="00163D46"/>
    <w:p w:rsidR="008476D4" w:rsidRDefault="008476D4"/>
    <w:sectPr w:rsidR="008476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76A47"/>
    <w:multiLevelType w:val="multilevel"/>
    <w:tmpl w:val="0C488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38759B"/>
    <w:multiLevelType w:val="multilevel"/>
    <w:tmpl w:val="192E6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D46"/>
    <w:rsid w:val="00163D46"/>
    <w:rsid w:val="00266AD9"/>
    <w:rsid w:val="008476D4"/>
    <w:rsid w:val="00C8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9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8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0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85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142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FFFFFF"/>
                            <w:left w:val="none" w:sz="0" w:space="0" w:color="FFFFFF"/>
                            <w:bottom w:val="none" w:sz="0" w:space="0" w:color="FFFFFF"/>
                            <w:right w:val="none" w:sz="0" w:space="0" w:color="FFFFFF"/>
                          </w:divBdr>
                          <w:divsChild>
                            <w:div w:id="29865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697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217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201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979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1690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8110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2703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81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Szewc Małgorzata</dc:creator>
  <cp:lastModifiedBy>Szewc Małgorzata</cp:lastModifiedBy>
  <cp:revision>1</cp:revision>
  <cp:lastPrinted>2015-03-25T12:54:00Z</cp:lastPrinted>
  <dcterms:created xsi:type="dcterms:W3CDTF">2015-03-25T12:42:00Z</dcterms:created>
  <dcterms:modified xsi:type="dcterms:W3CDTF">2015-03-25T13:09:00Z</dcterms:modified>
</cp:coreProperties>
</file>