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156" w:rsidRDefault="00215156" w:rsidP="00215156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215156" w:rsidRDefault="00215156" w:rsidP="004128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283F" w:rsidRPr="00A05666" w:rsidRDefault="0041283F" w:rsidP="004128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5666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41283F" w:rsidRPr="00A05666" w:rsidRDefault="0041283F" w:rsidP="004128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5666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A0566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41283F" w:rsidRPr="00A05666" w:rsidRDefault="0041283F" w:rsidP="004128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5666">
        <w:rPr>
          <w:rFonts w:ascii="Times New Roman" w:hAnsi="Times New Roman" w:cs="Times New Roman"/>
          <w:b/>
          <w:bCs/>
          <w:sz w:val="24"/>
          <w:szCs w:val="24"/>
        </w:rPr>
        <w:t>z dnia ___________ 2018 r.</w:t>
      </w:r>
    </w:p>
    <w:p w:rsidR="0041283F" w:rsidRPr="00A05666" w:rsidRDefault="0041283F" w:rsidP="0041283F">
      <w:pPr>
        <w:rPr>
          <w:rFonts w:ascii="Times New Roman" w:hAnsi="Times New Roman" w:cs="Times New Roman"/>
          <w:sz w:val="24"/>
          <w:szCs w:val="24"/>
        </w:rPr>
      </w:pPr>
    </w:p>
    <w:p w:rsidR="0041283F" w:rsidRPr="00A05666" w:rsidRDefault="0041283F" w:rsidP="0041283F">
      <w:pPr>
        <w:tabs>
          <w:tab w:val="left" w:pos="19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666">
        <w:rPr>
          <w:rFonts w:ascii="Times New Roman" w:hAnsi="Times New Roman" w:cs="Times New Roman"/>
          <w:b/>
          <w:sz w:val="24"/>
          <w:szCs w:val="24"/>
        </w:rPr>
        <w:t>w sprawie sposobu przesyłania za pomocą środków komunikacji elektronicznej ksiąg podatkowych oraz wymagań technicznych dla informatycznych nośników danych, na których te księgi mogą być zapisane i przekazywane</w:t>
      </w:r>
    </w:p>
    <w:p w:rsidR="0041283F" w:rsidRPr="00A05666" w:rsidRDefault="0041283F" w:rsidP="0041283F">
      <w:pPr>
        <w:rPr>
          <w:rFonts w:ascii="Times New Roman" w:hAnsi="Times New Roman" w:cs="Times New Roman"/>
          <w:sz w:val="24"/>
          <w:szCs w:val="24"/>
        </w:rPr>
      </w:pPr>
    </w:p>
    <w:p w:rsidR="0041283F" w:rsidRPr="00A05666" w:rsidRDefault="0041283F" w:rsidP="0041283F">
      <w:pPr>
        <w:rPr>
          <w:rFonts w:ascii="Times New Roman" w:hAnsi="Times New Roman" w:cs="Times New Roman"/>
          <w:sz w:val="24"/>
          <w:szCs w:val="24"/>
        </w:rPr>
      </w:pPr>
      <w:r w:rsidRPr="00A05666">
        <w:rPr>
          <w:rFonts w:ascii="Times New Roman" w:hAnsi="Times New Roman" w:cs="Times New Roman"/>
          <w:sz w:val="24"/>
          <w:szCs w:val="24"/>
        </w:rPr>
        <w:t>Na podstawie art. 35</w:t>
      </w:r>
      <w:r w:rsidR="00055857">
        <w:rPr>
          <w:rFonts w:ascii="Times New Roman" w:hAnsi="Times New Roman" w:cs="Times New Roman"/>
          <w:sz w:val="24"/>
          <w:szCs w:val="24"/>
        </w:rPr>
        <w:t>3</w:t>
      </w:r>
      <w:r w:rsidRPr="00A05666">
        <w:rPr>
          <w:rFonts w:ascii="Times New Roman" w:hAnsi="Times New Roman" w:cs="Times New Roman"/>
          <w:sz w:val="24"/>
          <w:szCs w:val="24"/>
        </w:rPr>
        <w:t xml:space="preserve"> § 3 u</w:t>
      </w:r>
      <w:r w:rsidR="00A05666">
        <w:rPr>
          <w:rFonts w:ascii="Times New Roman" w:hAnsi="Times New Roman" w:cs="Times New Roman"/>
          <w:sz w:val="24"/>
          <w:szCs w:val="24"/>
        </w:rPr>
        <w:t>stawy z dnia ….</w:t>
      </w:r>
      <w:r w:rsidRPr="00A05666">
        <w:rPr>
          <w:rFonts w:ascii="Times New Roman" w:hAnsi="Times New Roman" w:cs="Times New Roman"/>
          <w:sz w:val="24"/>
          <w:szCs w:val="24"/>
        </w:rPr>
        <w:t xml:space="preserve"> – Ordynacja podatkowa (Dz. U. , poz.) zarządza się, co następuje:</w:t>
      </w:r>
    </w:p>
    <w:p w:rsidR="0041283F" w:rsidRPr="00A05666" w:rsidRDefault="0041283F" w:rsidP="0041283F">
      <w:pPr>
        <w:rPr>
          <w:rFonts w:ascii="Times New Roman" w:hAnsi="Times New Roman" w:cs="Times New Roman"/>
          <w:sz w:val="24"/>
          <w:szCs w:val="24"/>
        </w:rPr>
      </w:pPr>
      <w:r w:rsidRPr="00A05666">
        <w:rPr>
          <w:rFonts w:ascii="Times New Roman" w:hAnsi="Times New Roman" w:cs="Times New Roman"/>
          <w:sz w:val="24"/>
          <w:szCs w:val="24"/>
        </w:rPr>
        <w:t>§ 1. Rozporządzenie określa:</w:t>
      </w:r>
    </w:p>
    <w:p w:rsidR="0041283F" w:rsidRPr="00A05666" w:rsidRDefault="0041283F" w:rsidP="0041283F">
      <w:pPr>
        <w:rPr>
          <w:rFonts w:ascii="Times New Roman" w:hAnsi="Times New Roman" w:cs="Times New Roman"/>
          <w:sz w:val="24"/>
          <w:szCs w:val="24"/>
        </w:rPr>
      </w:pPr>
      <w:r w:rsidRPr="00A05666">
        <w:rPr>
          <w:rFonts w:ascii="Times New Roman" w:hAnsi="Times New Roman" w:cs="Times New Roman"/>
          <w:sz w:val="24"/>
          <w:szCs w:val="24"/>
        </w:rPr>
        <w:t xml:space="preserve">1) sposób przesyłania za pomocą środków komunikacji elektronicznej ksiąg podatkowych, części tych ksiąg oraz dowodów księgowych w postaci elektronicznej, zwanych dalej „księgami”; </w:t>
      </w:r>
    </w:p>
    <w:p w:rsidR="0041283F" w:rsidRPr="00A05666" w:rsidRDefault="0041283F" w:rsidP="0041283F">
      <w:pPr>
        <w:rPr>
          <w:rFonts w:ascii="Times New Roman" w:hAnsi="Times New Roman" w:cs="Times New Roman"/>
          <w:sz w:val="24"/>
          <w:szCs w:val="24"/>
        </w:rPr>
      </w:pPr>
      <w:r w:rsidRPr="00A05666">
        <w:rPr>
          <w:rFonts w:ascii="Times New Roman" w:hAnsi="Times New Roman" w:cs="Times New Roman"/>
          <w:sz w:val="24"/>
          <w:szCs w:val="24"/>
        </w:rPr>
        <w:t>2) wymagania techniczne dla informatycznych nośników danych, na których księgi mogą być zapisane i przekazywane.</w:t>
      </w:r>
    </w:p>
    <w:p w:rsidR="0041283F" w:rsidRPr="00A05666" w:rsidRDefault="0041283F" w:rsidP="0041283F">
      <w:pPr>
        <w:rPr>
          <w:rFonts w:ascii="Times New Roman" w:hAnsi="Times New Roman" w:cs="Times New Roman"/>
          <w:sz w:val="24"/>
          <w:szCs w:val="24"/>
        </w:rPr>
      </w:pPr>
      <w:r w:rsidRPr="00A05666">
        <w:rPr>
          <w:rFonts w:ascii="Times New Roman" w:hAnsi="Times New Roman" w:cs="Times New Roman"/>
          <w:sz w:val="24"/>
          <w:szCs w:val="24"/>
        </w:rPr>
        <w:t xml:space="preserve">§ 2. 1. Księgi mogą być przesyłane za pomocą oprogramowania interfejsowego dostępnego na stronie, której adres jest podany w Biuletynie Informacji Publicznej na stronie podmiotowej urzędu obsługującego ministra właściwego do spraw finansów publicznych. </w:t>
      </w:r>
    </w:p>
    <w:p w:rsidR="00A61AD6" w:rsidRDefault="0041283F" w:rsidP="0041283F">
      <w:pPr>
        <w:rPr>
          <w:rFonts w:ascii="Times New Roman" w:hAnsi="Times New Roman" w:cs="Times New Roman"/>
          <w:sz w:val="24"/>
          <w:szCs w:val="24"/>
        </w:rPr>
      </w:pPr>
      <w:r w:rsidRPr="00A05666">
        <w:rPr>
          <w:rFonts w:ascii="Times New Roman" w:hAnsi="Times New Roman" w:cs="Times New Roman"/>
          <w:sz w:val="24"/>
          <w:szCs w:val="24"/>
        </w:rPr>
        <w:t xml:space="preserve">2. </w:t>
      </w:r>
      <w:r w:rsidR="00A61AD6" w:rsidRPr="00A61AD6">
        <w:rPr>
          <w:rFonts w:ascii="Times New Roman" w:hAnsi="Times New Roman" w:cs="Times New Roman"/>
          <w:sz w:val="24"/>
          <w:szCs w:val="24"/>
        </w:rPr>
        <w:t xml:space="preserve">Księgi przesyłane w sposób, o którym mowa w ust. 1, są opatrzone kwalifikowanym podpisem elektronicznym albo podpisem potwierdzonym profilem zaufanym </w:t>
      </w:r>
      <w:proofErr w:type="spellStart"/>
      <w:r w:rsidR="00A61AD6" w:rsidRPr="00A61AD6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="00A61AD6">
        <w:rPr>
          <w:rFonts w:ascii="Times New Roman" w:hAnsi="Times New Roman" w:cs="Times New Roman"/>
          <w:sz w:val="24"/>
          <w:szCs w:val="24"/>
        </w:rPr>
        <w:t>.</w:t>
      </w:r>
    </w:p>
    <w:p w:rsidR="0041283F" w:rsidRPr="00A05666" w:rsidRDefault="00A61AD6" w:rsidP="004128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1283F" w:rsidRPr="00A05666">
        <w:rPr>
          <w:rFonts w:ascii="Times New Roman" w:hAnsi="Times New Roman" w:cs="Times New Roman"/>
          <w:sz w:val="24"/>
          <w:szCs w:val="24"/>
        </w:rPr>
        <w:t xml:space="preserve">. Struktura logiczna urzędowego poświadczenia odbioru ksiąg jest udostępniona w Biuletynie Informacji Publicznej na stronie podmiotowej urzędu obsługującego ministra właściwego do spraw finansów publicznych. </w:t>
      </w:r>
    </w:p>
    <w:p w:rsidR="00A61AD6" w:rsidRDefault="00A61AD6" w:rsidP="004128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1283F" w:rsidRPr="00A05666">
        <w:rPr>
          <w:rFonts w:ascii="Times New Roman" w:hAnsi="Times New Roman" w:cs="Times New Roman"/>
          <w:sz w:val="24"/>
          <w:szCs w:val="24"/>
        </w:rPr>
        <w:t xml:space="preserve">. </w:t>
      </w:r>
      <w:r w:rsidRPr="00A61AD6">
        <w:rPr>
          <w:rFonts w:ascii="Times New Roman" w:hAnsi="Times New Roman" w:cs="Times New Roman"/>
          <w:sz w:val="24"/>
          <w:szCs w:val="24"/>
        </w:rPr>
        <w:t>Urzędowe poświadczenie odbioru wydane przez elektroniczną skrzynkę podawczą systemu teleinformatycznego administracji skarbowej, po przeprowadzeniu prawidłowej weryfikacji struktury logicznej, poprawności danych i podpisu elektronicznego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61AD6" w:rsidRPr="00A61AD6" w:rsidRDefault="00A61AD6" w:rsidP="00A61AD6">
      <w:pPr>
        <w:rPr>
          <w:rFonts w:ascii="Times New Roman" w:hAnsi="Times New Roman" w:cs="Times New Roman"/>
          <w:sz w:val="24"/>
          <w:szCs w:val="24"/>
        </w:rPr>
      </w:pPr>
      <w:r w:rsidRPr="00A61AD6">
        <w:rPr>
          <w:rFonts w:ascii="Times New Roman" w:hAnsi="Times New Roman" w:cs="Times New Roman"/>
          <w:sz w:val="24"/>
          <w:szCs w:val="24"/>
        </w:rPr>
        <w:t>______</w:t>
      </w:r>
    </w:p>
    <w:p w:rsidR="00A61AD6" w:rsidRPr="00A61AD6" w:rsidRDefault="00A61AD6" w:rsidP="00A61AD6">
      <w:pPr>
        <w:rPr>
          <w:rFonts w:ascii="Times New Roman" w:hAnsi="Times New Roman" w:cs="Times New Roman"/>
          <w:sz w:val="24"/>
          <w:szCs w:val="24"/>
        </w:rPr>
      </w:pPr>
      <w:r w:rsidRPr="00A61AD6">
        <w:rPr>
          <w:rFonts w:ascii="Times New Roman" w:hAnsi="Times New Roman" w:cs="Times New Roman"/>
          <w:sz w:val="24"/>
          <w:szCs w:val="24"/>
          <w:vertAlign w:val="superscript"/>
        </w:rPr>
        <w:t>1)</w:t>
      </w:r>
      <w:r w:rsidRPr="00A61AD6">
        <w:rPr>
          <w:rFonts w:ascii="Times New Roman" w:hAnsi="Times New Roman" w:cs="Times New Roman"/>
          <w:sz w:val="24"/>
          <w:szCs w:val="24"/>
        </w:rPr>
        <w:tab/>
        <w:t xml:space="preserve">Minister Rozwoju i Finansów kieruje działem administracji rządowej – finanse publiczne, na podstawie § 1 ust. 2 pkt 2 rozporządzenia Prezesa Rady Ministrów z dnia 30 </w:t>
      </w:r>
      <w:r w:rsidRPr="00A61AD6">
        <w:rPr>
          <w:rFonts w:ascii="Times New Roman" w:hAnsi="Times New Roman" w:cs="Times New Roman"/>
          <w:sz w:val="24"/>
          <w:szCs w:val="24"/>
        </w:rPr>
        <w:lastRenderedPageBreak/>
        <w:t>września 2016 r. w sprawie szczegółowego zakresu działania Ministra Rozwoju i Finansów (Dz. U. poz. 1595).</w:t>
      </w:r>
    </w:p>
    <w:p w:rsidR="00A61AD6" w:rsidRDefault="00A61AD6" w:rsidP="0041283F">
      <w:pPr>
        <w:rPr>
          <w:rFonts w:ascii="Times New Roman" w:hAnsi="Times New Roman" w:cs="Times New Roman"/>
          <w:sz w:val="24"/>
          <w:szCs w:val="24"/>
        </w:rPr>
      </w:pPr>
    </w:p>
    <w:p w:rsidR="0041283F" w:rsidRPr="00A05666" w:rsidRDefault="0041283F" w:rsidP="0041283F">
      <w:pPr>
        <w:rPr>
          <w:rFonts w:ascii="Times New Roman" w:hAnsi="Times New Roman" w:cs="Times New Roman"/>
          <w:sz w:val="24"/>
          <w:szCs w:val="24"/>
        </w:rPr>
      </w:pPr>
      <w:r w:rsidRPr="00A05666">
        <w:rPr>
          <w:rFonts w:ascii="Times New Roman" w:hAnsi="Times New Roman" w:cs="Times New Roman"/>
          <w:sz w:val="24"/>
          <w:szCs w:val="24"/>
        </w:rPr>
        <w:t xml:space="preserve">1) zapewnia integralność przekazanych ksiąg zgodnie z przepisami ustawy z dnia 17 lutego 2005 r. o informatyzacji działalności podmiotów realizujących zadania publiczne (Dz. U. z 2017 r. poz. 570); </w:t>
      </w:r>
    </w:p>
    <w:p w:rsidR="00C04FD5" w:rsidRPr="00A05666" w:rsidRDefault="0041283F" w:rsidP="0041283F">
      <w:pPr>
        <w:rPr>
          <w:rFonts w:ascii="Times New Roman" w:hAnsi="Times New Roman" w:cs="Times New Roman"/>
          <w:sz w:val="24"/>
          <w:szCs w:val="24"/>
        </w:rPr>
      </w:pPr>
      <w:r w:rsidRPr="00A05666">
        <w:rPr>
          <w:rFonts w:ascii="Times New Roman" w:hAnsi="Times New Roman" w:cs="Times New Roman"/>
          <w:sz w:val="24"/>
          <w:szCs w:val="24"/>
        </w:rPr>
        <w:t>2) zawiera datę i godzinę przekazania ksiąg i stanowi dowód doręczenia dokumentu.</w:t>
      </w:r>
    </w:p>
    <w:p w:rsidR="0041283F" w:rsidRPr="00A05666" w:rsidRDefault="0041283F" w:rsidP="0041283F">
      <w:pPr>
        <w:rPr>
          <w:rFonts w:ascii="Times New Roman" w:hAnsi="Times New Roman" w:cs="Times New Roman"/>
          <w:sz w:val="24"/>
          <w:szCs w:val="24"/>
        </w:rPr>
      </w:pPr>
      <w:r w:rsidRPr="00A05666">
        <w:rPr>
          <w:rFonts w:ascii="Times New Roman" w:hAnsi="Times New Roman" w:cs="Times New Roman"/>
          <w:sz w:val="24"/>
          <w:szCs w:val="24"/>
        </w:rPr>
        <w:t>§ 3. 1. Informatyczne nośniki danych, na których księgi mogą być zapisane i przekazywane, są:</w:t>
      </w:r>
    </w:p>
    <w:p w:rsidR="0041283F" w:rsidRPr="00A05666" w:rsidRDefault="0041283F" w:rsidP="0041283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05666">
        <w:rPr>
          <w:rFonts w:ascii="Times New Roman" w:hAnsi="Times New Roman" w:cs="Times New Roman"/>
          <w:sz w:val="24"/>
          <w:szCs w:val="24"/>
        </w:rPr>
        <w:t>oznakowane w sposób pozwalający na jednoznaczną identyfikację nośnika;</w:t>
      </w:r>
    </w:p>
    <w:p w:rsidR="0041283F" w:rsidRPr="00A05666" w:rsidRDefault="0041283F" w:rsidP="0041283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05666">
        <w:rPr>
          <w:rFonts w:ascii="Times New Roman" w:hAnsi="Times New Roman" w:cs="Times New Roman"/>
          <w:sz w:val="24"/>
          <w:szCs w:val="24"/>
        </w:rPr>
        <w:t xml:space="preserve">przystosowane do przenoszenia pomiędzy powszechnie dostępnymi urządzeniami odczytującymi; </w:t>
      </w:r>
    </w:p>
    <w:p w:rsidR="0041283F" w:rsidRPr="00A05666" w:rsidRDefault="0041283F" w:rsidP="0041283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05666">
        <w:rPr>
          <w:rFonts w:ascii="Times New Roman" w:hAnsi="Times New Roman" w:cs="Times New Roman"/>
          <w:sz w:val="24"/>
          <w:szCs w:val="24"/>
        </w:rPr>
        <w:t>dostosowane do przechowywania w temperaturze 18–22oC przy wilgotności względnej 40–50%.</w:t>
      </w:r>
    </w:p>
    <w:p w:rsidR="0041283F" w:rsidRPr="00A05666" w:rsidRDefault="0041283F" w:rsidP="0041283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41283F" w:rsidRPr="00A05666" w:rsidRDefault="0041283F" w:rsidP="00A61AD6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 w:rsidRPr="00A05666">
        <w:rPr>
          <w:rFonts w:ascii="Times New Roman" w:hAnsi="Times New Roman" w:cs="Times New Roman"/>
          <w:sz w:val="24"/>
          <w:szCs w:val="24"/>
        </w:rPr>
        <w:t>2. Informatyczne nośniki danych, o których mowa w ust. 1, powinny zapewniać możliwość wiernego odczytywania danych w urządzeniach produkowanych przez różnych producentów, właściwych dla danego typu nośnika.</w:t>
      </w:r>
    </w:p>
    <w:p w:rsidR="00A05666" w:rsidRPr="00A05666" w:rsidRDefault="00A05666" w:rsidP="00A61AD6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</w:p>
    <w:p w:rsidR="0041283F" w:rsidRPr="00A05666" w:rsidRDefault="0041283F" w:rsidP="0041283F">
      <w:pPr>
        <w:pStyle w:val="Akapitzlist"/>
        <w:ind w:left="708"/>
        <w:rPr>
          <w:rFonts w:ascii="Times New Roman" w:hAnsi="Times New Roman" w:cs="Times New Roman"/>
          <w:sz w:val="24"/>
          <w:szCs w:val="24"/>
        </w:rPr>
      </w:pPr>
      <w:r w:rsidRPr="00A05666">
        <w:rPr>
          <w:rFonts w:ascii="Times New Roman" w:hAnsi="Times New Roman" w:cs="Times New Roman"/>
          <w:sz w:val="24"/>
          <w:szCs w:val="24"/>
        </w:rPr>
        <w:t>§ 4. Rozporządzenie wchodzi w życie z dniem</w:t>
      </w:r>
      <w:r w:rsidR="00A61AD6">
        <w:rPr>
          <w:rFonts w:ascii="Times New Roman" w:hAnsi="Times New Roman" w:cs="Times New Roman"/>
          <w:sz w:val="24"/>
          <w:szCs w:val="24"/>
        </w:rPr>
        <w:t>……</w:t>
      </w:r>
    </w:p>
    <w:sectPr w:rsidR="0041283F" w:rsidRPr="00A056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33C" w:rsidRDefault="0062133C" w:rsidP="0041283F">
      <w:pPr>
        <w:spacing w:after="0" w:line="240" w:lineRule="auto"/>
      </w:pPr>
      <w:r>
        <w:separator/>
      </w:r>
    </w:p>
  </w:endnote>
  <w:endnote w:type="continuationSeparator" w:id="0">
    <w:p w:rsidR="0062133C" w:rsidRDefault="0062133C" w:rsidP="00412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33C" w:rsidRDefault="0062133C" w:rsidP="0041283F">
      <w:pPr>
        <w:spacing w:after="0" w:line="240" w:lineRule="auto"/>
      </w:pPr>
      <w:r>
        <w:separator/>
      </w:r>
    </w:p>
  </w:footnote>
  <w:footnote w:type="continuationSeparator" w:id="0">
    <w:p w:rsidR="0062133C" w:rsidRDefault="0062133C" w:rsidP="00412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B715A0"/>
    <w:multiLevelType w:val="hybridMultilevel"/>
    <w:tmpl w:val="29E472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83F"/>
    <w:rsid w:val="00055857"/>
    <w:rsid w:val="001C56A7"/>
    <w:rsid w:val="00215156"/>
    <w:rsid w:val="002C7A8D"/>
    <w:rsid w:val="0041283F"/>
    <w:rsid w:val="00440DFD"/>
    <w:rsid w:val="0062133C"/>
    <w:rsid w:val="007C1E7D"/>
    <w:rsid w:val="00A05666"/>
    <w:rsid w:val="00A61AD6"/>
    <w:rsid w:val="00C04FD5"/>
    <w:rsid w:val="00CE2649"/>
    <w:rsid w:val="00D507E6"/>
    <w:rsid w:val="00EA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2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283F"/>
  </w:style>
  <w:style w:type="paragraph" w:styleId="Stopka">
    <w:name w:val="footer"/>
    <w:basedOn w:val="Normalny"/>
    <w:link w:val="StopkaZnak"/>
    <w:uiPriority w:val="99"/>
    <w:unhideWhenUsed/>
    <w:rsid w:val="00412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283F"/>
  </w:style>
  <w:style w:type="paragraph" w:styleId="Akapitzlist">
    <w:name w:val="List Paragraph"/>
    <w:basedOn w:val="Normalny"/>
    <w:uiPriority w:val="34"/>
    <w:qFormat/>
    <w:rsid w:val="0041283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128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28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28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28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283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2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28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2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283F"/>
  </w:style>
  <w:style w:type="paragraph" w:styleId="Stopka">
    <w:name w:val="footer"/>
    <w:basedOn w:val="Normalny"/>
    <w:link w:val="StopkaZnak"/>
    <w:uiPriority w:val="99"/>
    <w:unhideWhenUsed/>
    <w:rsid w:val="00412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283F"/>
  </w:style>
  <w:style w:type="paragraph" w:styleId="Akapitzlist">
    <w:name w:val="List Paragraph"/>
    <w:basedOn w:val="Normalny"/>
    <w:uiPriority w:val="34"/>
    <w:qFormat/>
    <w:rsid w:val="0041283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128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28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28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28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283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2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28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7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1001zaar</dc:creator>
  <cp:lastModifiedBy>Trzaska Honorata</cp:lastModifiedBy>
  <cp:revision>2</cp:revision>
  <dcterms:created xsi:type="dcterms:W3CDTF">2017-10-23T11:10:00Z</dcterms:created>
  <dcterms:modified xsi:type="dcterms:W3CDTF">2017-10-23T11:10:00Z</dcterms:modified>
</cp:coreProperties>
</file>