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02" w:rsidRPr="00C66D2A" w:rsidRDefault="00A87D3D" w:rsidP="00C66D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5295C" w:rsidRDefault="0015295C" w:rsidP="00C66D2A">
      <w:pPr>
        <w:rPr>
          <w:rFonts w:ascii="Arial" w:hAnsi="Arial" w:cs="Arial"/>
        </w:rPr>
      </w:pPr>
    </w:p>
    <w:p w:rsidR="004047C7" w:rsidRPr="00C66D2A" w:rsidRDefault="004047C7" w:rsidP="00C66D2A">
      <w:pPr>
        <w:rPr>
          <w:rFonts w:ascii="Arial" w:hAnsi="Arial" w:cs="Arial"/>
        </w:rPr>
      </w:pPr>
    </w:p>
    <w:p w:rsidR="00D073CB" w:rsidRDefault="001A4D91" w:rsidP="00973D15">
      <w:pPr>
        <w:rPr>
          <w:rFonts w:ascii="Arial" w:hAnsi="Arial" w:cs="Arial"/>
          <w:b/>
          <w:color w:val="E31837"/>
          <w:sz w:val="40"/>
          <w:szCs w:val="40"/>
        </w:rPr>
      </w:pPr>
      <w:r w:rsidRPr="001A4D91">
        <w:rPr>
          <w:rFonts w:ascii="Arial" w:hAnsi="Arial" w:cs="Arial"/>
          <w:b/>
          <w:color w:val="E31837"/>
          <w:sz w:val="40"/>
          <w:szCs w:val="40"/>
        </w:rPr>
        <w:t>INFORMACJA KWARTALNA O</w:t>
      </w:r>
      <w:r w:rsidR="00E86C32">
        <w:rPr>
          <w:rFonts w:ascii="Arial" w:hAnsi="Arial" w:cs="Arial"/>
          <w:b/>
          <w:color w:val="E31837"/>
          <w:sz w:val="40"/>
          <w:szCs w:val="40"/>
        </w:rPr>
        <w:t> </w:t>
      </w:r>
      <w:r w:rsidRPr="001A4D91">
        <w:rPr>
          <w:rFonts w:ascii="Arial" w:hAnsi="Arial" w:cs="Arial"/>
          <w:b/>
          <w:color w:val="E31837"/>
          <w:sz w:val="40"/>
          <w:szCs w:val="40"/>
        </w:rPr>
        <w:t xml:space="preserve">STANIE FINANSÓW PUBLICZNYCH </w:t>
      </w:r>
      <w:r w:rsidR="00D073CB">
        <w:rPr>
          <w:rFonts w:ascii="Arial" w:hAnsi="Arial" w:cs="Arial"/>
          <w:b/>
          <w:color w:val="E31837"/>
          <w:sz w:val="40"/>
          <w:szCs w:val="40"/>
        </w:rPr>
        <w:t>W I KWARTALE 201</w:t>
      </w:r>
      <w:r w:rsidR="00B13134">
        <w:rPr>
          <w:rFonts w:ascii="Arial" w:hAnsi="Arial" w:cs="Arial"/>
          <w:b/>
          <w:color w:val="E31837"/>
          <w:sz w:val="40"/>
          <w:szCs w:val="40"/>
        </w:rPr>
        <w:t>7</w:t>
      </w:r>
      <w:r w:rsidR="00D073CB">
        <w:rPr>
          <w:rFonts w:ascii="Arial" w:hAnsi="Arial" w:cs="Arial"/>
          <w:b/>
          <w:color w:val="E31837"/>
          <w:sz w:val="40"/>
          <w:szCs w:val="40"/>
        </w:rPr>
        <w:t xml:space="preserve"> r.</w:t>
      </w:r>
      <w:r w:rsidR="0026261D">
        <w:rPr>
          <w:rFonts w:ascii="Arial" w:hAnsi="Arial" w:cs="Arial"/>
          <w:b/>
          <w:color w:val="E31837"/>
          <w:sz w:val="40"/>
          <w:szCs w:val="40"/>
        </w:rPr>
        <w:t xml:space="preserve"> </w:t>
      </w:r>
    </w:p>
    <w:p w:rsidR="00973D15" w:rsidRPr="00DD3527" w:rsidRDefault="00973D15" w:rsidP="00973D15">
      <w:pPr>
        <w:rPr>
          <w:rFonts w:ascii="Arial" w:hAnsi="Arial" w:cs="Arial"/>
          <w:b/>
          <w:color w:val="A6A6A6"/>
          <w:sz w:val="28"/>
          <w:szCs w:val="28"/>
        </w:rPr>
      </w:pPr>
      <w:r w:rsidRPr="00DD3527">
        <w:rPr>
          <w:rFonts w:ascii="Arial" w:hAnsi="Arial" w:cs="Arial"/>
          <w:b/>
          <w:color w:val="A6A6A6"/>
          <w:sz w:val="28"/>
          <w:szCs w:val="28"/>
        </w:rPr>
        <w:t xml:space="preserve">Nr </w:t>
      </w:r>
      <w:r w:rsidR="00B13134">
        <w:rPr>
          <w:rFonts w:ascii="Arial" w:hAnsi="Arial" w:cs="Arial"/>
          <w:b/>
          <w:color w:val="A6A6A6"/>
          <w:sz w:val="28"/>
          <w:szCs w:val="28"/>
        </w:rPr>
        <w:t>3</w:t>
      </w:r>
      <w:r w:rsidRPr="00DD3527">
        <w:rPr>
          <w:rFonts w:ascii="Arial" w:hAnsi="Arial" w:cs="Arial"/>
          <w:b/>
          <w:color w:val="A6A6A6"/>
          <w:sz w:val="28"/>
          <w:szCs w:val="28"/>
        </w:rPr>
        <w:t xml:space="preserve"> </w:t>
      </w:r>
      <w:r w:rsidR="001A4D91" w:rsidRPr="00DD3527">
        <w:rPr>
          <w:rFonts w:ascii="Arial" w:hAnsi="Arial" w:cs="Arial"/>
          <w:b/>
          <w:color w:val="A6A6A6"/>
          <w:sz w:val="28"/>
          <w:szCs w:val="28"/>
        </w:rPr>
        <w:t>/</w:t>
      </w:r>
      <w:r w:rsidRPr="00DD3527">
        <w:rPr>
          <w:rFonts w:ascii="Arial" w:hAnsi="Arial" w:cs="Arial"/>
          <w:b/>
          <w:color w:val="A6A6A6"/>
          <w:sz w:val="28"/>
          <w:szCs w:val="28"/>
        </w:rPr>
        <w:t xml:space="preserve"> 20</w:t>
      </w:r>
      <w:r w:rsidR="001A4D91" w:rsidRPr="00DD3527">
        <w:rPr>
          <w:rFonts w:ascii="Arial" w:hAnsi="Arial" w:cs="Arial"/>
          <w:b/>
          <w:color w:val="A6A6A6"/>
          <w:sz w:val="28"/>
          <w:szCs w:val="28"/>
        </w:rPr>
        <w:t>1</w:t>
      </w:r>
      <w:r w:rsidR="007E1B4D">
        <w:rPr>
          <w:rFonts w:ascii="Arial" w:hAnsi="Arial" w:cs="Arial"/>
          <w:b/>
          <w:color w:val="A6A6A6"/>
          <w:sz w:val="28"/>
          <w:szCs w:val="28"/>
        </w:rPr>
        <w:t>7</w:t>
      </w:r>
    </w:p>
    <w:p w:rsidR="00E64CDB" w:rsidRDefault="00C66D2A" w:rsidP="00E64CDB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ADAFB2"/>
          <w:sz w:val="24"/>
          <w:szCs w:val="24"/>
        </w:rPr>
      </w:pPr>
      <w:r w:rsidRPr="00E64CDB">
        <w:rPr>
          <w:rFonts w:ascii="Arial" w:hAnsi="Arial" w:cs="Arial"/>
          <w:color w:val="ADAFB2"/>
          <w:sz w:val="40"/>
          <w:szCs w:val="40"/>
        </w:rPr>
        <w:br/>
      </w:r>
    </w:p>
    <w:p w:rsidR="00E64CDB" w:rsidRPr="00562706" w:rsidRDefault="00E64CDB" w:rsidP="00C341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D80F1C">
        <w:rPr>
          <w:rFonts w:ascii="Arial" w:hAnsi="Arial" w:cs="Arial"/>
          <w:b/>
          <w:color w:val="ADAFB2"/>
          <w:sz w:val="24"/>
          <w:szCs w:val="24"/>
        </w:rPr>
        <w:t xml:space="preserve">Podstawowym celem niniejszej </w:t>
      </w:r>
      <w:r w:rsidRPr="00D80F1C">
        <w:rPr>
          <w:rFonts w:ascii="Arial" w:hAnsi="Arial" w:cs="Arial"/>
          <w:b/>
          <w:i/>
          <w:color w:val="ADAFB2"/>
          <w:sz w:val="24"/>
          <w:szCs w:val="24"/>
        </w:rPr>
        <w:t xml:space="preserve">Informacji </w:t>
      </w:r>
      <w:r w:rsidR="00594840" w:rsidRPr="00D80F1C">
        <w:rPr>
          <w:rFonts w:ascii="Arial" w:hAnsi="Arial" w:cs="Arial"/>
          <w:b/>
          <w:i/>
          <w:color w:val="ADAFB2"/>
          <w:sz w:val="24"/>
          <w:szCs w:val="24"/>
        </w:rPr>
        <w:t>kwartalnej</w:t>
      </w:r>
      <w:r w:rsidR="00594840" w:rsidRPr="00D80F1C">
        <w:rPr>
          <w:rFonts w:ascii="Arial" w:hAnsi="Arial" w:cs="Arial"/>
          <w:b/>
          <w:color w:val="ADAFB2"/>
          <w:sz w:val="24"/>
          <w:szCs w:val="24"/>
        </w:rPr>
        <w:t xml:space="preserve"> </w:t>
      </w:r>
      <w:r w:rsidRPr="00D80F1C">
        <w:rPr>
          <w:rFonts w:ascii="Arial" w:hAnsi="Arial" w:cs="Arial"/>
          <w:b/>
          <w:color w:val="ADAFB2"/>
          <w:sz w:val="24"/>
          <w:szCs w:val="24"/>
        </w:rPr>
        <w:t xml:space="preserve">jest zaprezentowanie dostępnych informacji na temat sektora </w:t>
      </w:r>
      <w:r w:rsidRPr="00562706">
        <w:rPr>
          <w:rFonts w:ascii="Arial" w:hAnsi="Arial" w:cs="Arial"/>
          <w:b/>
          <w:color w:val="ADAFB2"/>
          <w:sz w:val="24"/>
          <w:szCs w:val="24"/>
        </w:rPr>
        <w:t>finansów publicznych:</w:t>
      </w:r>
    </w:p>
    <w:p w:rsidR="00E64CDB" w:rsidRPr="00562706" w:rsidRDefault="00E64CDB" w:rsidP="001F225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562706">
        <w:rPr>
          <w:rFonts w:ascii="Arial" w:hAnsi="Arial" w:cs="Arial"/>
          <w:b/>
          <w:color w:val="ADAFB2"/>
          <w:sz w:val="24"/>
          <w:szCs w:val="24"/>
        </w:rPr>
        <w:t>•</w:t>
      </w:r>
      <w:r w:rsidRPr="00562706">
        <w:rPr>
          <w:rFonts w:ascii="Arial" w:hAnsi="Arial" w:cs="Arial"/>
          <w:b/>
          <w:color w:val="ADAFB2"/>
          <w:sz w:val="24"/>
          <w:szCs w:val="24"/>
        </w:rPr>
        <w:tab/>
        <w:t>według obowiązującego w Un</w:t>
      </w:r>
      <w:r w:rsidR="002A17A6" w:rsidRPr="00562706">
        <w:rPr>
          <w:rFonts w:ascii="Arial" w:hAnsi="Arial" w:cs="Arial"/>
          <w:b/>
          <w:color w:val="ADAFB2"/>
          <w:sz w:val="24"/>
          <w:szCs w:val="24"/>
        </w:rPr>
        <w:t>ii Europejskiej standardu ESA2010</w:t>
      </w:r>
      <w:r w:rsidRPr="00562706">
        <w:rPr>
          <w:rFonts w:ascii="Arial" w:hAnsi="Arial" w:cs="Arial"/>
          <w:b/>
          <w:color w:val="ADAFB2"/>
          <w:sz w:val="24"/>
          <w:szCs w:val="24"/>
        </w:rPr>
        <w:t xml:space="preserve"> (dane kwartalne obejmujące cały sektor instytucji rządowych i samorządowych),</w:t>
      </w:r>
    </w:p>
    <w:p w:rsidR="00E64CDB" w:rsidRPr="00562706" w:rsidRDefault="00E64CDB" w:rsidP="001F225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562706">
        <w:rPr>
          <w:rFonts w:ascii="Arial" w:hAnsi="Arial" w:cs="Arial"/>
          <w:b/>
          <w:color w:val="ADAFB2"/>
          <w:sz w:val="24"/>
          <w:szCs w:val="24"/>
        </w:rPr>
        <w:t>•</w:t>
      </w:r>
      <w:r w:rsidRPr="00562706">
        <w:rPr>
          <w:rFonts w:ascii="Arial" w:hAnsi="Arial" w:cs="Arial"/>
          <w:b/>
          <w:color w:val="ADAFB2"/>
          <w:sz w:val="24"/>
          <w:szCs w:val="24"/>
        </w:rPr>
        <w:tab/>
        <w:t xml:space="preserve">według standardu Międzynarodowego Funduszu Walutowego GFSM2001 (dane miesięczne obejmujące szczebel centralny, </w:t>
      </w:r>
      <w:r w:rsidR="00D023C3" w:rsidRPr="00562706">
        <w:rPr>
          <w:rFonts w:ascii="Arial" w:hAnsi="Arial" w:cs="Arial"/>
          <w:b/>
          <w:color w:val="ADAFB2"/>
          <w:sz w:val="24"/>
          <w:szCs w:val="24"/>
        </w:rPr>
        <w:t xml:space="preserve">natomiast </w:t>
      </w:r>
      <w:r w:rsidRPr="00562706">
        <w:rPr>
          <w:rFonts w:ascii="Arial" w:hAnsi="Arial" w:cs="Arial"/>
          <w:b/>
          <w:color w:val="ADAFB2"/>
          <w:sz w:val="24"/>
          <w:szCs w:val="24"/>
        </w:rPr>
        <w:t>dane roczne obejmujące cały sektor instytucji rządowych i samorządowych),</w:t>
      </w:r>
    </w:p>
    <w:p w:rsidR="00C66D2A" w:rsidRPr="00562706" w:rsidRDefault="00E64CDB" w:rsidP="001F2255">
      <w:pPr>
        <w:widowControl w:val="0"/>
        <w:tabs>
          <w:tab w:val="left" w:pos="426"/>
        </w:tabs>
        <w:autoSpaceDE w:val="0"/>
        <w:autoSpaceDN w:val="0"/>
        <w:adjustRightInd w:val="0"/>
        <w:spacing w:after="28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562706">
        <w:rPr>
          <w:rFonts w:ascii="Arial" w:hAnsi="Arial" w:cs="Arial"/>
          <w:b/>
          <w:color w:val="ADAFB2"/>
          <w:sz w:val="24"/>
          <w:szCs w:val="24"/>
        </w:rPr>
        <w:t>•</w:t>
      </w:r>
      <w:r w:rsidRPr="00562706">
        <w:rPr>
          <w:rFonts w:ascii="Arial" w:hAnsi="Arial" w:cs="Arial"/>
          <w:b/>
          <w:color w:val="ADAFB2"/>
          <w:sz w:val="24"/>
          <w:szCs w:val="24"/>
        </w:rPr>
        <w:tab/>
        <w:t>według przepisów krajowych (dane miesięczne o</w:t>
      </w:r>
      <w:r w:rsidR="00CA1B2C" w:rsidRPr="00562706">
        <w:rPr>
          <w:rFonts w:ascii="Arial" w:hAnsi="Arial" w:cs="Arial"/>
          <w:b/>
          <w:color w:val="ADAFB2"/>
          <w:sz w:val="24"/>
          <w:szCs w:val="24"/>
        </w:rPr>
        <w:t> </w:t>
      </w:r>
      <w:r w:rsidRPr="00562706">
        <w:rPr>
          <w:rFonts w:ascii="Arial" w:hAnsi="Arial" w:cs="Arial"/>
          <w:b/>
          <w:color w:val="ADAFB2"/>
          <w:sz w:val="24"/>
          <w:szCs w:val="24"/>
        </w:rPr>
        <w:t>budżecie państwa</w:t>
      </w:r>
      <w:r w:rsidR="001F2255" w:rsidRPr="00562706">
        <w:rPr>
          <w:rFonts w:ascii="Arial" w:hAnsi="Arial" w:cs="Arial"/>
          <w:b/>
          <w:color w:val="ADAFB2"/>
          <w:sz w:val="24"/>
          <w:szCs w:val="24"/>
        </w:rPr>
        <w:t xml:space="preserve">, Funduszu Ubezpieczeń Społecznych, Funduszu Emerytalno-Rentowym, Funduszu Pracy, Narodowym Funduszu </w:t>
      </w:r>
      <w:r w:rsidR="00562706">
        <w:rPr>
          <w:rFonts w:ascii="Arial" w:hAnsi="Arial" w:cs="Arial"/>
          <w:b/>
          <w:color w:val="ADAFB2"/>
          <w:sz w:val="24"/>
          <w:szCs w:val="24"/>
        </w:rPr>
        <w:t>Zdrowia</w:t>
      </w:r>
      <w:r w:rsidR="001F2255" w:rsidRPr="00562706">
        <w:rPr>
          <w:rFonts w:ascii="Arial" w:hAnsi="Arial" w:cs="Arial"/>
          <w:b/>
          <w:color w:val="ADAFB2"/>
          <w:sz w:val="24"/>
          <w:szCs w:val="24"/>
        </w:rPr>
        <w:t>)</w:t>
      </w:r>
      <w:r w:rsidRPr="00562706">
        <w:rPr>
          <w:rFonts w:ascii="Arial" w:hAnsi="Arial" w:cs="Arial"/>
          <w:b/>
          <w:color w:val="ADAFB2"/>
          <w:sz w:val="24"/>
          <w:szCs w:val="24"/>
        </w:rPr>
        <w:t>.</w:t>
      </w:r>
    </w:p>
    <w:p w:rsidR="00973D15" w:rsidRDefault="00973D15" w:rsidP="003E667E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</w:p>
    <w:p w:rsidR="00E64CDB" w:rsidRPr="00D80F1C" w:rsidRDefault="00E64CDB" w:rsidP="00DD730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ADAFB2"/>
          <w:sz w:val="24"/>
          <w:szCs w:val="24"/>
        </w:rPr>
      </w:pPr>
      <w:r w:rsidRPr="00D80F1C">
        <w:rPr>
          <w:rFonts w:ascii="Arial" w:hAnsi="Arial" w:cs="Arial"/>
          <w:b/>
          <w:color w:val="ADAFB2"/>
          <w:sz w:val="24"/>
          <w:szCs w:val="24"/>
        </w:rPr>
        <w:t xml:space="preserve">Departament Polityki </w:t>
      </w:r>
      <w:r w:rsidR="00C23366" w:rsidRPr="007A1D9D">
        <w:rPr>
          <w:rFonts w:ascii="Arial" w:hAnsi="Arial" w:cs="Arial"/>
          <w:b/>
          <w:color w:val="ADAFB2"/>
          <w:sz w:val="24"/>
          <w:szCs w:val="24"/>
        </w:rPr>
        <w:t>Makroekonomicznej</w:t>
      </w:r>
    </w:p>
    <w:p w:rsidR="00E210E5" w:rsidRDefault="00E64CDB" w:rsidP="00E210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ADAFB2"/>
          <w:sz w:val="24"/>
          <w:szCs w:val="24"/>
        </w:rPr>
      </w:pPr>
      <w:r w:rsidRPr="00D80F1C">
        <w:rPr>
          <w:rFonts w:ascii="Arial" w:hAnsi="Arial" w:cs="Arial"/>
          <w:b/>
          <w:color w:val="ADAFB2"/>
          <w:sz w:val="24"/>
          <w:szCs w:val="24"/>
        </w:rPr>
        <w:t>Departament Długu Publicznego</w:t>
      </w:r>
      <w:r w:rsidR="00E210E5" w:rsidRPr="00E210E5">
        <w:rPr>
          <w:rFonts w:ascii="Arial" w:hAnsi="Arial" w:cs="Arial"/>
          <w:b/>
          <w:color w:val="ADAFB2"/>
          <w:sz w:val="24"/>
          <w:szCs w:val="24"/>
        </w:rPr>
        <w:t xml:space="preserve"> </w:t>
      </w:r>
    </w:p>
    <w:p w:rsidR="005774A8" w:rsidRPr="00D023C3" w:rsidRDefault="005774A8" w:rsidP="00D023C3">
      <w:pPr>
        <w:widowControl w:val="0"/>
        <w:autoSpaceDE w:val="0"/>
        <w:autoSpaceDN w:val="0"/>
        <w:adjustRightInd w:val="0"/>
        <w:spacing w:after="280" w:line="360" w:lineRule="auto"/>
        <w:jc w:val="center"/>
        <w:rPr>
          <w:rFonts w:ascii="Arial" w:hAnsi="Arial" w:cs="Arial"/>
          <w:b/>
          <w:color w:val="ADAFB2"/>
          <w:sz w:val="24"/>
          <w:szCs w:val="24"/>
        </w:rPr>
        <w:sectPr w:rsidR="005774A8" w:rsidRPr="00D023C3" w:rsidSect="00EC4394">
          <w:footerReference w:type="default" r:id="rId9"/>
          <w:headerReference w:type="first" r:id="rId10"/>
          <w:pgSz w:w="11907" w:h="16839" w:code="9"/>
          <w:pgMar w:top="1418" w:right="992" w:bottom="1134" w:left="3686" w:header="709" w:footer="975" w:gutter="0"/>
          <w:cols w:space="708"/>
          <w:titlePg/>
          <w:docGrid w:linePitch="360"/>
        </w:sectPr>
      </w:pPr>
    </w:p>
    <w:p w:rsidR="00594840" w:rsidRPr="00D80F1C" w:rsidRDefault="00594840" w:rsidP="00214199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D80F1C">
        <w:rPr>
          <w:rFonts w:ascii="Arial" w:hAnsi="Arial" w:cs="Arial"/>
          <w:b/>
          <w:color w:val="ADAFB2"/>
          <w:sz w:val="24"/>
          <w:szCs w:val="24"/>
        </w:rPr>
        <w:lastRenderedPageBreak/>
        <w:t xml:space="preserve">Mając na uwadze zasadę jawności i przejrzystości finansów publicznych publikujemy Informację kwartalną o stanie finansów publicznych. Niniejszy numer zawiera informacje dotyczące </w:t>
      </w:r>
      <w:r w:rsidRPr="00D073CB">
        <w:rPr>
          <w:rFonts w:ascii="Arial" w:hAnsi="Arial" w:cs="Arial"/>
          <w:b/>
          <w:color w:val="333333"/>
          <w:sz w:val="24"/>
          <w:szCs w:val="24"/>
        </w:rPr>
        <w:t>I</w:t>
      </w:r>
      <w:r w:rsidR="0009641C">
        <w:rPr>
          <w:rFonts w:ascii="Arial" w:hAnsi="Arial" w:cs="Arial"/>
          <w:b/>
          <w:color w:val="333333"/>
          <w:sz w:val="24"/>
          <w:szCs w:val="24"/>
        </w:rPr>
        <w:t xml:space="preserve"> </w:t>
      </w:r>
      <w:r w:rsidRPr="00D073CB">
        <w:rPr>
          <w:rFonts w:ascii="Arial" w:hAnsi="Arial" w:cs="Arial"/>
          <w:b/>
          <w:color w:val="333333"/>
          <w:sz w:val="24"/>
          <w:szCs w:val="24"/>
        </w:rPr>
        <w:t>kwartału 201</w:t>
      </w:r>
      <w:r w:rsidR="00B13134">
        <w:rPr>
          <w:rFonts w:ascii="Arial" w:hAnsi="Arial" w:cs="Arial"/>
          <w:b/>
          <w:color w:val="333333"/>
          <w:sz w:val="24"/>
          <w:szCs w:val="24"/>
        </w:rPr>
        <w:t>7</w:t>
      </w:r>
      <w:r w:rsidR="00C23366">
        <w:rPr>
          <w:rFonts w:ascii="Arial" w:hAnsi="Arial" w:cs="Arial"/>
          <w:b/>
          <w:color w:val="333333"/>
          <w:sz w:val="24"/>
          <w:szCs w:val="24"/>
        </w:rPr>
        <w:t> r</w:t>
      </w:r>
      <w:r w:rsidR="0009641C">
        <w:rPr>
          <w:rFonts w:ascii="Arial" w:hAnsi="Arial" w:cs="Arial"/>
          <w:b/>
          <w:color w:val="333333"/>
          <w:sz w:val="24"/>
          <w:szCs w:val="24"/>
        </w:rPr>
        <w:t>.</w:t>
      </w:r>
      <w:r w:rsidRPr="00D80F1C">
        <w:rPr>
          <w:rFonts w:ascii="Arial" w:hAnsi="Arial" w:cs="Arial"/>
          <w:b/>
          <w:color w:val="ADAFB2"/>
          <w:sz w:val="24"/>
          <w:szCs w:val="24"/>
        </w:rPr>
        <w:t xml:space="preserve"> </w:t>
      </w:r>
    </w:p>
    <w:p w:rsidR="008101FD" w:rsidRDefault="008101FD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  <w:sz w:val="20"/>
          <w:szCs w:val="20"/>
        </w:rPr>
      </w:pPr>
    </w:p>
    <w:p w:rsidR="00E210E5" w:rsidRDefault="00E210E5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  <w:sz w:val="20"/>
          <w:szCs w:val="20"/>
        </w:rPr>
      </w:pPr>
    </w:p>
    <w:p w:rsidR="00E210E5" w:rsidRDefault="00E210E5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  <w:sz w:val="20"/>
          <w:szCs w:val="20"/>
        </w:rPr>
      </w:pPr>
    </w:p>
    <w:p w:rsidR="00690F9E" w:rsidRDefault="00690F9E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</w:rPr>
      </w:pPr>
    </w:p>
    <w:p w:rsidR="00E210E5" w:rsidRDefault="00E210E5" w:rsidP="00594840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E31837"/>
          <w:sz w:val="28"/>
          <w:szCs w:val="28"/>
        </w:rPr>
      </w:pPr>
      <w:r>
        <w:rPr>
          <w:rFonts w:ascii="Arial" w:hAnsi="Arial" w:cs="Arial"/>
          <w:b/>
          <w:color w:val="E31837"/>
          <w:sz w:val="28"/>
          <w:szCs w:val="28"/>
        </w:rPr>
        <w:t xml:space="preserve">Podstawowe wskaźniki </w:t>
      </w:r>
      <w:r w:rsidR="00BC5828">
        <w:rPr>
          <w:rFonts w:ascii="Arial" w:hAnsi="Arial" w:cs="Arial"/>
          <w:b/>
          <w:color w:val="E31837"/>
          <w:sz w:val="28"/>
          <w:szCs w:val="28"/>
        </w:rPr>
        <w:t xml:space="preserve">w </w:t>
      </w:r>
      <w:r w:rsidRPr="00E210E5">
        <w:rPr>
          <w:rFonts w:ascii="Arial" w:hAnsi="Arial" w:cs="Arial"/>
          <w:b/>
          <w:color w:val="E31837"/>
          <w:sz w:val="28"/>
          <w:szCs w:val="28"/>
        </w:rPr>
        <w:t xml:space="preserve">I kw. </w:t>
      </w:r>
      <w:r w:rsidR="007E1B4D">
        <w:rPr>
          <w:rFonts w:ascii="Arial" w:hAnsi="Arial" w:cs="Arial"/>
          <w:b/>
          <w:color w:val="E31837"/>
          <w:sz w:val="28"/>
          <w:szCs w:val="28"/>
        </w:rPr>
        <w:t>201</w:t>
      </w:r>
      <w:r w:rsidR="00B13134">
        <w:rPr>
          <w:rFonts w:ascii="Arial" w:hAnsi="Arial" w:cs="Arial"/>
          <w:b/>
          <w:color w:val="E31837"/>
          <w:sz w:val="28"/>
          <w:szCs w:val="28"/>
        </w:rPr>
        <w:t>7</w:t>
      </w:r>
      <w:r w:rsidRPr="00E210E5">
        <w:rPr>
          <w:rFonts w:ascii="Arial" w:hAnsi="Arial" w:cs="Arial"/>
          <w:b/>
          <w:color w:val="E31837"/>
          <w:sz w:val="28"/>
          <w:szCs w:val="28"/>
        </w:rPr>
        <w:t> r.</w:t>
      </w:r>
    </w:p>
    <w:p w:rsidR="00E210E5" w:rsidRDefault="00E210E5" w:rsidP="00032D5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7A1D9D">
        <w:rPr>
          <w:rFonts w:ascii="Arial" w:hAnsi="Arial" w:cs="Arial"/>
          <w:b/>
          <w:color w:val="ADAFB2"/>
          <w:sz w:val="24"/>
          <w:szCs w:val="24"/>
        </w:rPr>
        <w:t>Wynik</w:t>
      </w:r>
      <w:r w:rsidRPr="00E210E5">
        <w:rPr>
          <w:rFonts w:ascii="Arial" w:hAnsi="Arial" w:cs="Arial"/>
          <w:b/>
          <w:color w:val="ADAFB2"/>
          <w:sz w:val="24"/>
          <w:szCs w:val="24"/>
        </w:rPr>
        <w:t xml:space="preserve"> </w:t>
      </w:r>
      <w:r w:rsidR="00032D57" w:rsidRPr="00032D57">
        <w:rPr>
          <w:rFonts w:ascii="Arial" w:hAnsi="Arial" w:cs="Arial"/>
          <w:b/>
          <w:color w:val="ADAFB2"/>
          <w:sz w:val="24"/>
          <w:szCs w:val="24"/>
        </w:rPr>
        <w:t xml:space="preserve">sektora instytucji rządowych i samorządowych wg ESA2010 </w:t>
      </w:r>
      <w:r w:rsidR="00BC5828">
        <w:rPr>
          <w:rFonts w:ascii="Arial" w:hAnsi="Arial" w:cs="Arial"/>
          <w:b/>
          <w:color w:val="ADAFB2"/>
          <w:sz w:val="24"/>
          <w:szCs w:val="24"/>
        </w:rPr>
        <w:t xml:space="preserve">w I kw. </w:t>
      </w:r>
      <w:r w:rsidRPr="00032D57">
        <w:rPr>
          <w:rFonts w:ascii="Arial" w:hAnsi="Arial" w:cs="Arial"/>
          <w:b/>
          <w:color w:val="ADAFB2"/>
          <w:sz w:val="24"/>
          <w:szCs w:val="24"/>
        </w:rPr>
        <w:t xml:space="preserve">wyniósł </w:t>
      </w:r>
      <w:r w:rsidR="00B43A0C" w:rsidRPr="00CB58C9">
        <w:rPr>
          <w:rFonts w:ascii="Arial" w:hAnsi="Arial" w:cs="Arial"/>
          <w:b/>
          <w:color w:val="E31837"/>
          <w:sz w:val="24"/>
          <w:szCs w:val="24"/>
        </w:rPr>
        <w:t>7,8</w:t>
      </w:r>
      <w:r w:rsidR="007E1B4D" w:rsidRPr="00CB58C9">
        <w:rPr>
          <w:rFonts w:ascii="Arial" w:hAnsi="Arial" w:cs="Arial"/>
          <w:b/>
          <w:color w:val="E31837"/>
          <w:sz w:val="24"/>
          <w:szCs w:val="24"/>
        </w:rPr>
        <w:t xml:space="preserve"> mld zł </w:t>
      </w:r>
      <w:r w:rsidR="00B43A0C" w:rsidRPr="00CB58C9">
        <w:rPr>
          <w:rFonts w:ascii="Arial" w:hAnsi="Arial" w:cs="Arial"/>
          <w:b/>
          <w:color w:val="E31837"/>
          <w:sz w:val="24"/>
          <w:szCs w:val="24"/>
        </w:rPr>
        <w:t>(1,7</w:t>
      </w:r>
      <w:r w:rsidR="002E22EC" w:rsidRPr="00CB58C9">
        <w:rPr>
          <w:rFonts w:ascii="Arial" w:hAnsi="Arial" w:cs="Arial"/>
          <w:b/>
          <w:color w:val="E31837"/>
          <w:sz w:val="24"/>
          <w:szCs w:val="24"/>
        </w:rPr>
        <w:t xml:space="preserve"> %</w:t>
      </w:r>
      <w:r w:rsidR="007F6D0C">
        <w:rPr>
          <w:rFonts w:ascii="Arial" w:hAnsi="Arial" w:cs="Arial"/>
          <w:b/>
          <w:color w:val="E31837"/>
          <w:sz w:val="24"/>
          <w:szCs w:val="24"/>
        </w:rPr>
        <w:t xml:space="preserve"> </w:t>
      </w:r>
      <w:r w:rsidR="002E22EC" w:rsidRPr="00CB58C9">
        <w:rPr>
          <w:rFonts w:ascii="Arial" w:hAnsi="Arial" w:cs="Arial"/>
          <w:b/>
          <w:color w:val="E31837"/>
          <w:sz w:val="24"/>
          <w:szCs w:val="24"/>
        </w:rPr>
        <w:t>PKB)</w:t>
      </w:r>
    </w:p>
    <w:p w:rsidR="00E210E5" w:rsidRPr="00D55FD4" w:rsidRDefault="003F725B" w:rsidP="00B43A0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>
        <w:rPr>
          <w:rFonts w:ascii="Arial" w:hAnsi="Arial" w:cs="Arial"/>
          <w:b/>
          <w:color w:val="ADAFB2"/>
          <w:sz w:val="24"/>
          <w:szCs w:val="24"/>
        </w:rPr>
        <w:t>Dł</w:t>
      </w:r>
      <w:r w:rsidR="00E210E5" w:rsidRPr="00D55FD4">
        <w:rPr>
          <w:rFonts w:ascii="Arial" w:hAnsi="Arial" w:cs="Arial"/>
          <w:b/>
          <w:color w:val="ADAFB2"/>
          <w:sz w:val="24"/>
          <w:szCs w:val="24"/>
        </w:rPr>
        <w:t xml:space="preserve">ug EDP </w:t>
      </w:r>
      <w:r w:rsidR="00A700BC" w:rsidRPr="00D55FD4">
        <w:rPr>
          <w:rFonts w:ascii="Arial" w:hAnsi="Arial" w:cs="Arial"/>
          <w:b/>
          <w:color w:val="ADAFB2"/>
          <w:sz w:val="24"/>
          <w:szCs w:val="24"/>
        </w:rPr>
        <w:t xml:space="preserve">na koniec </w:t>
      </w:r>
      <w:r w:rsidR="00B13134">
        <w:rPr>
          <w:rFonts w:ascii="Arial" w:hAnsi="Arial" w:cs="Arial"/>
          <w:b/>
          <w:color w:val="ADAFB2"/>
          <w:sz w:val="24"/>
          <w:szCs w:val="24"/>
        </w:rPr>
        <w:t xml:space="preserve">marca </w:t>
      </w:r>
      <w:r w:rsidR="00A700BC" w:rsidRPr="00D55FD4">
        <w:rPr>
          <w:rFonts w:ascii="Arial" w:hAnsi="Arial" w:cs="Arial"/>
          <w:b/>
          <w:color w:val="ADAFB2"/>
          <w:sz w:val="24"/>
          <w:szCs w:val="24"/>
        </w:rPr>
        <w:t>201</w:t>
      </w:r>
      <w:r w:rsidR="00B13134">
        <w:rPr>
          <w:rFonts w:ascii="Arial" w:hAnsi="Arial" w:cs="Arial"/>
          <w:b/>
          <w:color w:val="ADAFB2"/>
          <w:sz w:val="24"/>
          <w:szCs w:val="24"/>
        </w:rPr>
        <w:t>7</w:t>
      </w:r>
      <w:r w:rsidR="00A700BC" w:rsidRPr="00D55FD4">
        <w:rPr>
          <w:rFonts w:ascii="Arial" w:hAnsi="Arial" w:cs="Arial"/>
          <w:b/>
          <w:color w:val="ADAFB2"/>
          <w:sz w:val="24"/>
          <w:szCs w:val="24"/>
        </w:rPr>
        <w:t xml:space="preserve"> r. </w:t>
      </w:r>
      <w:r w:rsidR="00E210E5" w:rsidRPr="00D55FD4">
        <w:rPr>
          <w:rFonts w:ascii="Arial" w:hAnsi="Arial" w:cs="Arial"/>
          <w:b/>
          <w:color w:val="ADAFB2"/>
          <w:sz w:val="24"/>
          <w:szCs w:val="24"/>
        </w:rPr>
        <w:t xml:space="preserve">wyniósł </w:t>
      </w:r>
      <w:r w:rsidR="00B43A0C" w:rsidRPr="00B43A0C">
        <w:rPr>
          <w:rFonts w:ascii="Arial" w:hAnsi="Arial" w:cs="Arial"/>
          <w:b/>
          <w:color w:val="E31837"/>
          <w:sz w:val="24"/>
          <w:szCs w:val="24"/>
        </w:rPr>
        <w:t xml:space="preserve">1.013,6 </w:t>
      </w:r>
      <w:r w:rsidR="00D55FD4" w:rsidRPr="00B43A0C">
        <w:rPr>
          <w:rFonts w:ascii="Arial" w:hAnsi="Arial" w:cs="Arial"/>
          <w:b/>
          <w:color w:val="E31837"/>
          <w:sz w:val="24"/>
          <w:szCs w:val="24"/>
        </w:rPr>
        <w:t xml:space="preserve">mld zł </w:t>
      </w:r>
      <w:r w:rsidR="00032D57">
        <w:rPr>
          <w:rFonts w:ascii="Arial" w:hAnsi="Arial" w:cs="Arial"/>
          <w:b/>
          <w:color w:val="E31837"/>
          <w:sz w:val="24"/>
          <w:szCs w:val="24"/>
        </w:rPr>
        <w:t>(54,0% PKB)</w:t>
      </w:r>
    </w:p>
    <w:p w:rsidR="003E0424" w:rsidRDefault="003E0424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</w:rPr>
      </w:pPr>
    </w:p>
    <w:p w:rsidR="00CB58C9" w:rsidRDefault="00CB58C9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</w:rPr>
      </w:pPr>
      <w:bookmarkStart w:id="0" w:name="_GoBack"/>
      <w:bookmarkEnd w:id="0"/>
    </w:p>
    <w:p w:rsidR="00E210E5" w:rsidRDefault="00E210E5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</w:rPr>
      </w:pPr>
    </w:p>
    <w:p w:rsidR="003E0424" w:rsidRDefault="00594840" w:rsidP="00D80F1C">
      <w:pPr>
        <w:widowControl w:val="0"/>
        <w:autoSpaceDE w:val="0"/>
        <w:autoSpaceDN w:val="0"/>
        <w:adjustRightInd w:val="0"/>
        <w:spacing w:after="280" w:line="360" w:lineRule="auto"/>
        <w:jc w:val="both"/>
        <w:rPr>
          <w:rFonts w:ascii="Arial" w:hAnsi="Arial" w:cs="Arial"/>
          <w:b/>
          <w:color w:val="ADAFB2"/>
        </w:rPr>
      </w:pPr>
      <w:r w:rsidRPr="00D80F1C">
        <w:rPr>
          <w:rFonts w:ascii="Arial" w:hAnsi="Arial" w:cs="Arial"/>
          <w:b/>
          <w:color w:val="ADAFB2"/>
          <w:sz w:val="20"/>
          <w:szCs w:val="20"/>
        </w:rPr>
        <w:t>Niniejszy materiał został opracowany wyłącznie w celach informacyjnych i</w:t>
      </w:r>
      <w:r w:rsidR="00CA1B2C">
        <w:rPr>
          <w:rFonts w:ascii="Arial" w:hAnsi="Arial" w:cs="Arial"/>
          <w:b/>
          <w:color w:val="ADAFB2"/>
          <w:sz w:val="20"/>
          <w:szCs w:val="20"/>
        </w:rPr>
        <w:t> </w:t>
      </w:r>
      <w:r w:rsidRPr="00D80F1C">
        <w:rPr>
          <w:rFonts w:ascii="Arial" w:hAnsi="Arial" w:cs="Arial"/>
          <w:b/>
          <w:color w:val="ADAFB2"/>
          <w:sz w:val="20"/>
          <w:szCs w:val="20"/>
        </w:rPr>
        <w:t>nie może być traktowany jako oferta lub rekomendacja do zawierania jakichkolwiek transakcji. Informacje zawarte w materiale pochodzą z</w:t>
      </w:r>
      <w:r w:rsidR="00CA1B2C">
        <w:rPr>
          <w:rFonts w:ascii="Arial" w:hAnsi="Arial" w:cs="Arial"/>
          <w:b/>
          <w:color w:val="ADAFB2"/>
          <w:sz w:val="20"/>
          <w:szCs w:val="20"/>
        </w:rPr>
        <w:t> </w:t>
      </w:r>
      <w:r w:rsidRPr="00D80F1C">
        <w:rPr>
          <w:rFonts w:ascii="Arial" w:hAnsi="Arial" w:cs="Arial"/>
          <w:b/>
          <w:color w:val="ADAFB2"/>
          <w:sz w:val="20"/>
          <w:szCs w:val="20"/>
        </w:rPr>
        <w:t>dostępnych, wiarygodnych źródeł, jednak  Ministerstwo Finansów nie może zagwarantować ich dokładności i pełności. Ministerstwo Finansów nie ponosi odpowiedzialności za skutki decyzji podjętych na podstawie informacji zawartych w niniejszym materiale. Niniejszy materiał może być wykorzystywany do opracowań własnych pod warunkiem powołania się na źródło.</w:t>
      </w:r>
      <w:r w:rsidR="00D80F1C">
        <w:rPr>
          <w:rFonts w:ascii="Arial" w:hAnsi="Arial" w:cs="Arial"/>
          <w:b/>
          <w:color w:val="ADAFB2"/>
          <w:sz w:val="20"/>
          <w:szCs w:val="20"/>
        </w:rPr>
        <w:t xml:space="preserve"> </w:t>
      </w:r>
    </w:p>
    <w:p w:rsidR="005725A7" w:rsidRDefault="005725A7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</w:rPr>
        <w:sectPr w:rsidR="005725A7" w:rsidSect="00EC4394">
          <w:footerReference w:type="first" r:id="rId11"/>
          <w:pgSz w:w="11907" w:h="16839" w:code="9"/>
          <w:pgMar w:top="1418" w:right="992" w:bottom="1135" w:left="3686" w:header="709" w:footer="976" w:gutter="0"/>
          <w:cols w:space="708"/>
          <w:titlePg/>
          <w:docGrid w:linePitch="360"/>
        </w:sectPr>
      </w:pPr>
    </w:p>
    <w:p w:rsidR="003E0424" w:rsidRDefault="003E0424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</w:rPr>
      </w:pPr>
    </w:p>
    <w:p w:rsidR="00BF757A" w:rsidRDefault="00BF757A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ADAFB2"/>
        </w:rPr>
      </w:pPr>
    </w:p>
    <w:p w:rsidR="00DE5957" w:rsidRPr="00D80F1C" w:rsidRDefault="00DE5957" w:rsidP="00DE5957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E31837"/>
          <w:sz w:val="28"/>
          <w:szCs w:val="28"/>
        </w:rPr>
      </w:pPr>
      <w:r w:rsidRPr="00D80F1C">
        <w:rPr>
          <w:rFonts w:ascii="Arial" w:hAnsi="Arial" w:cs="Arial"/>
          <w:b/>
          <w:color w:val="E31837"/>
          <w:sz w:val="28"/>
          <w:szCs w:val="28"/>
        </w:rPr>
        <w:t>SPIS TREŚCI</w:t>
      </w:r>
    </w:p>
    <w:p w:rsidR="00EA7C0A" w:rsidRPr="00EA7C0A" w:rsidRDefault="00A3676D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r w:rsidRPr="003262D7">
        <w:rPr>
          <w:rStyle w:val="Hipercze"/>
          <w:rFonts w:ascii="Arial" w:hAnsi="Arial" w:cs="Arial"/>
          <w:b/>
          <w:noProof/>
          <w:color w:val="ADAFB2"/>
        </w:rPr>
        <w:fldChar w:fldCharType="begin"/>
      </w:r>
      <w:r w:rsidRPr="003262D7">
        <w:rPr>
          <w:rStyle w:val="Hipercze"/>
          <w:rFonts w:ascii="Arial" w:hAnsi="Arial" w:cs="Arial"/>
          <w:b/>
          <w:noProof/>
          <w:color w:val="ADAFB2"/>
        </w:rPr>
        <w:instrText xml:space="preserve"> TOC \o "1-3" \h \z \u </w:instrText>
      </w:r>
      <w:r w:rsidRPr="003262D7">
        <w:rPr>
          <w:rStyle w:val="Hipercze"/>
          <w:rFonts w:ascii="Arial" w:hAnsi="Arial" w:cs="Arial"/>
          <w:b/>
          <w:noProof/>
          <w:color w:val="ADAFB2"/>
        </w:rPr>
        <w:fldChar w:fldCharType="separate"/>
      </w:r>
      <w:hyperlink w:anchor="_Toc488656161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1. Wynik, dochody oraz wydatki w I kw. 2017 r.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_Toc488656161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 w:rsidR="007F6D0C">
          <w:rPr>
            <w:rStyle w:val="Hipercze"/>
            <w:rFonts w:ascii="Arial" w:hAnsi="Arial" w:cs="Arial"/>
            <w:b/>
            <w:noProof/>
            <w:webHidden/>
            <w:color w:val="ADAFB2"/>
          </w:rPr>
          <w:t>4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2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1.1. Wynik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_Toc488656162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4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3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1.2. Dochody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_Toc488656163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4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4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1.3. Wydatki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_Toc488656164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5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5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2. Dług publiczny oraz potrzeby pożyczkowe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_Toc488656165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7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6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2.1. Dług sektora instytucji rządowych i samorządowych (wg definicji UE)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_Toc488656166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7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7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2.2. Potrzeby pożyczkowe budżetu państwa  i ich finansowanie w I kwartale 2017 r.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_Toc488656167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7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8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NOTA METODYCZNA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_Toc488656168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9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EA7C0A" w:rsidRPr="00EA7C0A" w:rsidRDefault="007F6D0C" w:rsidP="00EA7C0A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hyperlink w:anchor="_Toc488656169" w:history="1">
        <w:r w:rsidR="00EA7C0A" w:rsidRPr="00EA7C0A">
          <w:rPr>
            <w:rStyle w:val="Hipercze"/>
            <w:rFonts w:ascii="Arial" w:hAnsi="Arial" w:cs="Arial"/>
            <w:b/>
            <w:noProof/>
            <w:color w:val="ADAFB2"/>
          </w:rPr>
          <w:t>ANEKS  STATYSTYCZNY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tab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begin"/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instrText xml:space="preserve"> PAGEREF _Toc488656169 \h </w:instrTex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separate"/>
        </w:r>
        <w:r>
          <w:rPr>
            <w:rStyle w:val="Hipercze"/>
            <w:rFonts w:ascii="Arial" w:hAnsi="Arial" w:cs="Arial"/>
            <w:b/>
            <w:noProof/>
            <w:webHidden/>
            <w:color w:val="ADAFB2"/>
          </w:rPr>
          <w:t>10</w:t>
        </w:r>
        <w:r w:rsidR="00EA7C0A" w:rsidRPr="00EA7C0A">
          <w:rPr>
            <w:rStyle w:val="Hipercze"/>
            <w:rFonts w:ascii="Arial" w:hAnsi="Arial" w:cs="Arial"/>
            <w:b/>
            <w:noProof/>
            <w:webHidden/>
            <w:color w:val="ADAFB2"/>
          </w:rPr>
          <w:fldChar w:fldCharType="end"/>
        </w:r>
      </w:hyperlink>
    </w:p>
    <w:p w:rsidR="00A3676D" w:rsidRPr="00D0426F" w:rsidRDefault="00A3676D" w:rsidP="00D0426F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r w:rsidRPr="003262D7">
        <w:rPr>
          <w:rStyle w:val="Hipercze"/>
          <w:rFonts w:ascii="Arial" w:hAnsi="Arial" w:cs="Arial"/>
          <w:b/>
          <w:noProof/>
          <w:color w:val="ADAFB2"/>
        </w:rPr>
        <w:fldChar w:fldCharType="end"/>
      </w:r>
    </w:p>
    <w:p w:rsidR="003A6FCB" w:rsidRPr="003A6FCB" w:rsidRDefault="003A6FCB" w:rsidP="003A6FCB">
      <w:pPr>
        <w:pStyle w:val="Spistreci1"/>
        <w:tabs>
          <w:tab w:val="right" w:leader="dot" w:pos="7219"/>
        </w:tabs>
        <w:spacing w:after="120"/>
        <w:rPr>
          <w:noProof/>
          <w:lang w:eastAsia="pl-PL"/>
        </w:rPr>
      </w:pPr>
    </w:p>
    <w:p w:rsidR="003A6FCB" w:rsidRDefault="003A6FCB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color w:val="BFBFBF"/>
          <w:sz w:val="18"/>
          <w:szCs w:val="18"/>
        </w:rPr>
      </w:pPr>
    </w:p>
    <w:p w:rsidR="003A6FCB" w:rsidRDefault="003A6FCB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color w:val="BFBFBF"/>
          <w:sz w:val="18"/>
          <w:szCs w:val="18"/>
        </w:rPr>
      </w:pPr>
    </w:p>
    <w:p w:rsidR="003A6FCB" w:rsidRPr="00B9273E" w:rsidRDefault="003A6FCB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color w:val="BFBFBF"/>
          <w:sz w:val="18"/>
          <w:szCs w:val="18"/>
        </w:rPr>
      </w:pPr>
    </w:p>
    <w:p w:rsidR="00157279" w:rsidRDefault="00157279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</w:p>
    <w:p w:rsidR="00157279" w:rsidRDefault="00157279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  <w:sectPr w:rsidR="00157279" w:rsidSect="00EC4394">
          <w:pgSz w:w="11907" w:h="16839" w:code="9"/>
          <w:pgMar w:top="1418" w:right="992" w:bottom="1135" w:left="3686" w:header="709" w:footer="976" w:gutter="0"/>
          <w:cols w:space="708"/>
          <w:titlePg/>
          <w:docGrid w:linePitch="360"/>
        </w:sectPr>
      </w:pPr>
    </w:p>
    <w:p w:rsidR="0031062E" w:rsidRPr="007A1D9D" w:rsidRDefault="0031062E" w:rsidP="006B7502">
      <w:pPr>
        <w:pStyle w:val="Nagwek1"/>
        <w:spacing w:before="120" w:line="288" w:lineRule="auto"/>
        <w:rPr>
          <w:rFonts w:ascii="Arial" w:hAnsi="Arial" w:cs="Arial"/>
          <w:color w:val="ADAFB2"/>
          <w:sz w:val="28"/>
          <w:szCs w:val="28"/>
        </w:rPr>
      </w:pPr>
      <w:bookmarkStart w:id="1" w:name="_Toc488656161"/>
      <w:r w:rsidRPr="007A1D9D">
        <w:rPr>
          <w:rFonts w:ascii="Arial" w:hAnsi="Arial" w:cs="Arial"/>
          <w:color w:val="ADAFB2"/>
          <w:sz w:val="28"/>
          <w:szCs w:val="28"/>
        </w:rPr>
        <w:lastRenderedPageBreak/>
        <w:t>1.</w:t>
      </w:r>
      <w:r w:rsidR="00EC0826" w:rsidRPr="007A1D9D">
        <w:rPr>
          <w:rFonts w:ascii="Arial" w:hAnsi="Arial" w:cs="Arial"/>
          <w:color w:val="ADAFB2"/>
          <w:sz w:val="28"/>
          <w:szCs w:val="28"/>
        </w:rPr>
        <w:t xml:space="preserve"> </w:t>
      </w:r>
      <w:r w:rsidR="00730D3C">
        <w:rPr>
          <w:rFonts w:ascii="Arial" w:hAnsi="Arial" w:cs="Arial"/>
          <w:color w:val="ADAFB2"/>
          <w:sz w:val="28"/>
          <w:szCs w:val="28"/>
        </w:rPr>
        <w:t>Wynik, d</w:t>
      </w:r>
      <w:r w:rsidR="000A6CA0" w:rsidRPr="007A1D9D">
        <w:rPr>
          <w:rFonts w:ascii="Arial" w:hAnsi="Arial" w:cs="Arial"/>
          <w:color w:val="ADAFB2"/>
          <w:sz w:val="28"/>
          <w:szCs w:val="28"/>
        </w:rPr>
        <w:t>ochody</w:t>
      </w:r>
      <w:r w:rsidR="00730D3C">
        <w:rPr>
          <w:rFonts w:ascii="Arial" w:hAnsi="Arial" w:cs="Arial"/>
          <w:color w:val="ADAFB2"/>
          <w:sz w:val="28"/>
          <w:szCs w:val="28"/>
        </w:rPr>
        <w:t xml:space="preserve"> oraz</w:t>
      </w:r>
      <w:r w:rsidR="00E65258" w:rsidRPr="007A1D9D">
        <w:rPr>
          <w:rFonts w:ascii="Arial" w:hAnsi="Arial" w:cs="Arial"/>
          <w:color w:val="ADAFB2"/>
          <w:sz w:val="28"/>
          <w:szCs w:val="28"/>
        </w:rPr>
        <w:t xml:space="preserve"> wydatki </w:t>
      </w:r>
      <w:r w:rsidR="00101324">
        <w:rPr>
          <w:rFonts w:ascii="Arial" w:hAnsi="Arial" w:cs="Arial"/>
          <w:color w:val="ADAFB2"/>
          <w:sz w:val="28"/>
          <w:szCs w:val="28"/>
        </w:rPr>
        <w:t>w I kw.</w:t>
      </w:r>
      <w:r w:rsidR="000A6CA0" w:rsidRPr="007A1D9D">
        <w:rPr>
          <w:rFonts w:ascii="Arial" w:hAnsi="Arial" w:cs="Arial"/>
          <w:color w:val="ADAFB2"/>
          <w:sz w:val="28"/>
          <w:szCs w:val="28"/>
        </w:rPr>
        <w:t xml:space="preserve"> </w:t>
      </w:r>
      <w:r w:rsidR="0085795C">
        <w:rPr>
          <w:rFonts w:ascii="Arial" w:hAnsi="Arial" w:cs="Arial"/>
          <w:color w:val="ADAFB2"/>
          <w:sz w:val="28"/>
          <w:szCs w:val="28"/>
        </w:rPr>
        <w:t>201</w:t>
      </w:r>
      <w:r w:rsidR="00B13134">
        <w:rPr>
          <w:rFonts w:ascii="Arial" w:hAnsi="Arial" w:cs="Arial"/>
          <w:color w:val="ADAFB2"/>
          <w:sz w:val="28"/>
          <w:szCs w:val="28"/>
        </w:rPr>
        <w:t>7</w:t>
      </w:r>
      <w:r w:rsidR="00730D3C">
        <w:rPr>
          <w:rFonts w:ascii="Arial" w:hAnsi="Arial" w:cs="Arial"/>
          <w:color w:val="ADAFB2"/>
          <w:sz w:val="28"/>
          <w:szCs w:val="28"/>
        </w:rPr>
        <w:t xml:space="preserve"> r.</w:t>
      </w:r>
      <w:bookmarkEnd w:id="1"/>
    </w:p>
    <w:p w:rsidR="006A5483" w:rsidRDefault="006A5483" w:rsidP="006B7502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Poniżej przedstawione zostały </w:t>
      </w:r>
      <w:r w:rsidR="009D4E91">
        <w:rPr>
          <w:rFonts w:ascii="Times New Roman" w:hAnsi="Times New Roman"/>
          <w:bCs/>
          <w:sz w:val="20"/>
          <w:szCs w:val="20"/>
        </w:rPr>
        <w:t>podstawow</w:t>
      </w:r>
      <w:r>
        <w:rPr>
          <w:rFonts w:ascii="Times New Roman" w:hAnsi="Times New Roman"/>
          <w:bCs/>
          <w:sz w:val="20"/>
          <w:szCs w:val="20"/>
        </w:rPr>
        <w:t>e informacje na temat sytua</w:t>
      </w:r>
      <w:r w:rsidR="00BC5828">
        <w:rPr>
          <w:rFonts w:ascii="Times New Roman" w:hAnsi="Times New Roman"/>
          <w:bCs/>
          <w:sz w:val="20"/>
          <w:szCs w:val="20"/>
        </w:rPr>
        <w:t>cji w finansach publicznych w</w:t>
      </w:r>
      <w:r w:rsidR="001E41C5">
        <w:rPr>
          <w:rFonts w:ascii="Times New Roman" w:hAnsi="Times New Roman"/>
          <w:bCs/>
          <w:sz w:val="20"/>
          <w:szCs w:val="20"/>
        </w:rPr>
        <w:t> </w:t>
      </w:r>
      <w:r w:rsidR="00BC5828">
        <w:rPr>
          <w:rFonts w:ascii="Times New Roman" w:hAnsi="Times New Roman"/>
          <w:bCs/>
          <w:sz w:val="20"/>
          <w:szCs w:val="20"/>
        </w:rPr>
        <w:t>I</w:t>
      </w:r>
      <w:r w:rsidR="001E41C5">
        <w:rPr>
          <w:rFonts w:ascii="Times New Roman" w:hAnsi="Times New Roman"/>
          <w:bCs/>
          <w:sz w:val="20"/>
          <w:szCs w:val="20"/>
        </w:rPr>
        <w:t> </w:t>
      </w:r>
      <w:r w:rsidR="0085795C">
        <w:rPr>
          <w:rFonts w:ascii="Times New Roman" w:hAnsi="Times New Roman"/>
          <w:bCs/>
          <w:sz w:val="20"/>
          <w:szCs w:val="20"/>
        </w:rPr>
        <w:t>kw.</w:t>
      </w:r>
      <w:r w:rsidR="001E41C5">
        <w:rPr>
          <w:rFonts w:ascii="Times New Roman" w:hAnsi="Times New Roman"/>
          <w:bCs/>
          <w:sz w:val="20"/>
          <w:szCs w:val="20"/>
        </w:rPr>
        <w:t> </w:t>
      </w:r>
      <w:r w:rsidR="0085795C">
        <w:rPr>
          <w:rFonts w:ascii="Times New Roman" w:hAnsi="Times New Roman"/>
          <w:bCs/>
          <w:sz w:val="20"/>
          <w:szCs w:val="20"/>
        </w:rPr>
        <w:t>201</w:t>
      </w:r>
      <w:r w:rsidR="00B13134">
        <w:rPr>
          <w:rFonts w:ascii="Times New Roman" w:hAnsi="Times New Roman"/>
          <w:bCs/>
          <w:sz w:val="20"/>
          <w:szCs w:val="20"/>
        </w:rPr>
        <w:t>7</w:t>
      </w:r>
      <w:r w:rsidR="001E41C5">
        <w:rPr>
          <w:rFonts w:ascii="Times New Roman" w:hAnsi="Times New Roman"/>
          <w:bCs/>
          <w:sz w:val="20"/>
          <w:szCs w:val="20"/>
        </w:rPr>
        <w:t> </w:t>
      </w:r>
      <w:r>
        <w:rPr>
          <w:rFonts w:ascii="Times New Roman" w:hAnsi="Times New Roman"/>
          <w:bCs/>
          <w:sz w:val="20"/>
          <w:szCs w:val="20"/>
        </w:rPr>
        <w:t>r</w:t>
      </w:r>
      <w:r w:rsidR="0072464B">
        <w:rPr>
          <w:rFonts w:ascii="Times New Roman" w:hAnsi="Times New Roman"/>
          <w:bCs/>
          <w:sz w:val="20"/>
          <w:szCs w:val="20"/>
        </w:rPr>
        <w:t>.</w:t>
      </w:r>
    </w:p>
    <w:p w:rsidR="00D55ED6" w:rsidRPr="008F62F1" w:rsidRDefault="00D55ED6" w:rsidP="00D55ED6">
      <w:pPr>
        <w:pStyle w:val="Nagwek2"/>
        <w:spacing w:before="120" w:line="288" w:lineRule="auto"/>
        <w:rPr>
          <w:rFonts w:ascii="Arial" w:hAnsi="Arial" w:cs="Arial"/>
          <w:i w:val="0"/>
          <w:color w:val="E31837"/>
          <w:sz w:val="20"/>
          <w:szCs w:val="20"/>
        </w:rPr>
      </w:pPr>
      <w:bookmarkStart w:id="2" w:name="_Toc488656162"/>
      <w:r>
        <w:rPr>
          <w:rFonts w:ascii="Arial" w:hAnsi="Arial" w:cs="Arial"/>
          <w:i w:val="0"/>
          <w:color w:val="E31837"/>
          <w:sz w:val="20"/>
          <w:szCs w:val="20"/>
        </w:rPr>
        <w:t>1.1</w:t>
      </w:r>
      <w:r w:rsidRPr="008F62F1">
        <w:rPr>
          <w:rFonts w:ascii="Arial" w:hAnsi="Arial" w:cs="Arial"/>
          <w:i w:val="0"/>
          <w:color w:val="E31837"/>
          <w:sz w:val="20"/>
          <w:szCs w:val="20"/>
        </w:rPr>
        <w:t>. Wynik</w:t>
      </w:r>
      <w:bookmarkEnd w:id="2"/>
      <w:r w:rsidRPr="008F62F1">
        <w:rPr>
          <w:rFonts w:ascii="Arial" w:hAnsi="Arial" w:cs="Arial"/>
          <w:i w:val="0"/>
          <w:color w:val="E31837"/>
          <w:sz w:val="20"/>
          <w:szCs w:val="20"/>
        </w:rPr>
        <w:t xml:space="preserve"> </w:t>
      </w:r>
    </w:p>
    <w:p w:rsidR="00D55ED6" w:rsidRPr="006752D5" w:rsidRDefault="00EA7C0A" w:rsidP="00D55ED6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 w:cs="Arial"/>
          <w:sz w:val="20"/>
          <w:szCs w:val="20"/>
        </w:rPr>
      </w:pPr>
      <w:r>
        <w:rPr>
          <w:rFonts w:ascii="Times New Roman" w:hAnsi="Times New Roman" w:cs="Arial"/>
          <w:sz w:val="20"/>
          <w:szCs w:val="20"/>
        </w:rPr>
        <w:t>S</w:t>
      </w:r>
      <w:r w:rsidR="00D55ED6" w:rsidRPr="006752D5">
        <w:rPr>
          <w:rFonts w:ascii="Times New Roman" w:hAnsi="Times New Roman" w:cs="Arial"/>
          <w:sz w:val="20"/>
          <w:szCs w:val="20"/>
        </w:rPr>
        <w:t>ektor instytucj</w:t>
      </w:r>
      <w:r w:rsidR="006752D5" w:rsidRPr="006752D5">
        <w:rPr>
          <w:rFonts w:ascii="Times New Roman" w:hAnsi="Times New Roman" w:cs="Arial"/>
          <w:sz w:val="20"/>
          <w:szCs w:val="20"/>
        </w:rPr>
        <w:t>i rządowych i samorządowych w I</w:t>
      </w:r>
      <w:r w:rsidR="00D55ED6" w:rsidRPr="006752D5">
        <w:rPr>
          <w:rFonts w:ascii="Times New Roman" w:hAnsi="Times New Roman" w:cs="Arial"/>
          <w:sz w:val="20"/>
          <w:szCs w:val="20"/>
        </w:rPr>
        <w:t xml:space="preserve"> kw. 20</w:t>
      </w:r>
      <w:r w:rsidR="006752D5" w:rsidRPr="006752D5">
        <w:rPr>
          <w:rFonts w:ascii="Times New Roman" w:hAnsi="Times New Roman" w:cs="Arial"/>
          <w:sz w:val="20"/>
          <w:szCs w:val="20"/>
        </w:rPr>
        <w:t>17</w:t>
      </w:r>
      <w:r w:rsidR="00D55ED6" w:rsidRPr="006752D5">
        <w:rPr>
          <w:rFonts w:ascii="Times New Roman" w:hAnsi="Times New Roman" w:cs="Arial"/>
          <w:sz w:val="20"/>
          <w:szCs w:val="20"/>
        </w:rPr>
        <w:t xml:space="preserve"> r. </w:t>
      </w:r>
      <w:r>
        <w:rPr>
          <w:rFonts w:ascii="Times New Roman" w:hAnsi="Times New Roman" w:cs="Arial"/>
          <w:sz w:val="20"/>
          <w:szCs w:val="20"/>
        </w:rPr>
        <w:t>odnotował nadwyżkę w wysokości</w:t>
      </w:r>
      <w:r w:rsidR="001E41C5">
        <w:rPr>
          <w:rFonts w:ascii="Times New Roman" w:hAnsi="Times New Roman" w:cs="Arial"/>
          <w:sz w:val="20"/>
          <w:szCs w:val="20"/>
        </w:rPr>
        <w:t xml:space="preserve"> </w:t>
      </w:r>
      <w:r w:rsidR="006752D5" w:rsidRPr="006752D5">
        <w:rPr>
          <w:rFonts w:ascii="Times New Roman" w:hAnsi="Times New Roman" w:cs="Arial"/>
          <w:sz w:val="20"/>
          <w:szCs w:val="20"/>
        </w:rPr>
        <w:t>7,8</w:t>
      </w:r>
      <w:r w:rsidR="00D55ED6" w:rsidRPr="006752D5">
        <w:rPr>
          <w:rFonts w:ascii="Times New Roman" w:hAnsi="Times New Roman" w:cs="Arial"/>
          <w:sz w:val="20"/>
          <w:szCs w:val="20"/>
        </w:rPr>
        <w:t xml:space="preserve"> mld zł</w:t>
      </w:r>
      <w:r w:rsidR="006752D5" w:rsidRPr="006752D5">
        <w:rPr>
          <w:rFonts w:ascii="Times New Roman" w:hAnsi="Times New Roman" w:cs="Arial"/>
          <w:sz w:val="20"/>
          <w:szCs w:val="20"/>
        </w:rPr>
        <w:t xml:space="preserve"> (</w:t>
      </w:r>
      <w:r w:rsidR="00A00705">
        <w:rPr>
          <w:rFonts w:ascii="Times New Roman" w:hAnsi="Times New Roman" w:cs="Arial"/>
          <w:sz w:val="20"/>
          <w:szCs w:val="20"/>
        </w:rPr>
        <w:t>tj. </w:t>
      </w:r>
      <w:r w:rsidR="006752D5" w:rsidRPr="006752D5">
        <w:rPr>
          <w:rFonts w:ascii="Times New Roman" w:hAnsi="Times New Roman" w:cs="Arial"/>
          <w:sz w:val="20"/>
          <w:szCs w:val="20"/>
        </w:rPr>
        <w:t>1,7 %</w:t>
      </w:r>
      <w:r w:rsidR="00A00705">
        <w:rPr>
          <w:rFonts w:ascii="Times New Roman" w:hAnsi="Times New Roman" w:cs="Arial"/>
          <w:sz w:val="20"/>
          <w:szCs w:val="20"/>
        </w:rPr>
        <w:t> </w:t>
      </w:r>
      <w:r w:rsidR="006752D5" w:rsidRPr="006752D5">
        <w:rPr>
          <w:rFonts w:ascii="Times New Roman" w:hAnsi="Times New Roman" w:cs="Arial"/>
          <w:sz w:val="20"/>
          <w:szCs w:val="20"/>
        </w:rPr>
        <w:t xml:space="preserve">PKB), </w:t>
      </w:r>
      <w:r w:rsidR="00A00705">
        <w:rPr>
          <w:rFonts w:ascii="Times New Roman" w:hAnsi="Times New Roman" w:cs="Arial"/>
          <w:sz w:val="20"/>
          <w:szCs w:val="20"/>
        </w:rPr>
        <w:t xml:space="preserve">oraz nadwyżkę </w:t>
      </w:r>
      <w:r w:rsidR="006752D5" w:rsidRPr="006752D5">
        <w:rPr>
          <w:rFonts w:ascii="Times New Roman" w:hAnsi="Times New Roman" w:cs="Arial"/>
          <w:sz w:val="20"/>
          <w:szCs w:val="20"/>
        </w:rPr>
        <w:t>pierwotn</w:t>
      </w:r>
      <w:r w:rsidR="00A00705">
        <w:rPr>
          <w:rFonts w:ascii="Times New Roman" w:hAnsi="Times New Roman" w:cs="Arial"/>
          <w:sz w:val="20"/>
          <w:szCs w:val="20"/>
        </w:rPr>
        <w:t xml:space="preserve">ą w wysokości </w:t>
      </w:r>
      <w:r w:rsidR="006752D5" w:rsidRPr="006752D5">
        <w:rPr>
          <w:rFonts w:ascii="Times New Roman" w:hAnsi="Times New Roman" w:cs="Arial"/>
          <w:sz w:val="20"/>
          <w:szCs w:val="20"/>
        </w:rPr>
        <w:t>15,8 mld zł (</w:t>
      </w:r>
      <w:r w:rsidR="00A00705">
        <w:rPr>
          <w:rFonts w:ascii="Times New Roman" w:hAnsi="Times New Roman" w:cs="Arial"/>
          <w:sz w:val="20"/>
          <w:szCs w:val="20"/>
        </w:rPr>
        <w:t xml:space="preserve">tj. </w:t>
      </w:r>
      <w:r w:rsidR="006752D5" w:rsidRPr="006752D5">
        <w:rPr>
          <w:rFonts w:ascii="Times New Roman" w:hAnsi="Times New Roman" w:cs="Arial"/>
          <w:sz w:val="20"/>
          <w:szCs w:val="20"/>
        </w:rPr>
        <w:t>3,5</w:t>
      </w:r>
      <w:r w:rsidR="00D55ED6" w:rsidRPr="006752D5">
        <w:rPr>
          <w:rFonts w:ascii="Times New Roman" w:hAnsi="Times New Roman" w:cs="Arial"/>
          <w:sz w:val="20"/>
          <w:szCs w:val="20"/>
        </w:rPr>
        <w:t xml:space="preserve"> %</w:t>
      </w:r>
      <w:r w:rsidR="00A00705">
        <w:rPr>
          <w:rFonts w:ascii="Times New Roman" w:hAnsi="Times New Roman" w:cs="Arial"/>
          <w:sz w:val="20"/>
          <w:szCs w:val="20"/>
        </w:rPr>
        <w:t> </w:t>
      </w:r>
      <w:r w:rsidR="00D55ED6" w:rsidRPr="006752D5">
        <w:rPr>
          <w:rFonts w:ascii="Times New Roman" w:hAnsi="Times New Roman" w:cs="Arial"/>
          <w:sz w:val="20"/>
          <w:szCs w:val="20"/>
        </w:rPr>
        <w:t xml:space="preserve">PKB). </w:t>
      </w:r>
      <w:r w:rsidR="00C3135B">
        <w:rPr>
          <w:rFonts w:ascii="Times New Roman" w:hAnsi="Times New Roman" w:cs="Arial"/>
          <w:sz w:val="20"/>
          <w:szCs w:val="20"/>
        </w:rPr>
        <w:t>Jest to najlepszy wynik osi</w:t>
      </w:r>
      <w:r w:rsidR="000F137E">
        <w:rPr>
          <w:rFonts w:ascii="Times New Roman" w:hAnsi="Times New Roman" w:cs="Arial"/>
          <w:sz w:val="20"/>
          <w:szCs w:val="20"/>
        </w:rPr>
        <w:t xml:space="preserve">ągnięty od momentu rozpoczęcia publikowania przez Główny Urząd Statystyczny </w:t>
      </w:r>
      <w:r w:rsidR="00C3135B">
        <w:rPr>
          <w:rFonts w:ascii="Times New Roman" w:hAnsi="Times New Roman" w:cs="Arial"/>
          <w:sz w:val="20"/>
          <w:szCs w:val="20"/>
        </w:rPr>
        <w:t>danych kwartalnych wg metod</w:t>
      </w:r>
      <w:r w:rsidR="00A00705">
        <w:rPr>
          <w:rFonts w:ascii="Times New Roman" w:hAnsi="Times New Roman" w:cs="Arial"/>
          <w:sz w:val="20"/>
          <w:szCs w:val="20"/>
        </w:rPr>
        <w:t>y</w:t>
      </w:r>
      <w:r w:rsidR="001E41C5">
        <w:rPr>
          <w:rFonts w:ascii="Times New Roman" w:hAnsi="Times New Roman" w:cs="Arial"/>
          <w:sz w:val="20"/>
          <w:szCs w:val="20"/>
        </w:rPr>
        <w:t>ki unijnej</w:t>
      </w:r>
      <w:r w:rsidR="00C3135B">
        <w:rPr>
          <w:rFonts w:ascii="Times New Roman" w:hAnsi="Times New Roman" w:cs="Arial"/>
          <w:sz w:val="20"/>
          <w:szCs w:val="20"/>
        </w:rPr>
        <w:t xml:space="preserve"> ESA</w:t>
      </w:r>
      <w:r w:rsidR="001E41C5">
        <w:rPr>
          <w:rFonts w:ascii="Times New Roman" w:hAnsi="Times New Roman" w:cs="Arial"/>
          <w:sz w:val="20"/>
          <w:szCs w:val="20"/>
        </w:rPr>
        <w:t>2010</w:t>
      </w:r>
      <w:r w:rsidR="00C3135B">
        <w:rPr>
          <w:rFonts w:ascii="Times New Roman" w:hAnsi="Times New Roman" w:cs="Arial"/>
          <w:sz w:val="20"/>
          <w:szCs w:val="20"/>
        </w:rPr>
        <w:t xml:space="preserve"> (</w:t>
      </w:r>
      <w:r w:rsidR="001E41C5">
        <w:rPr>
          <w:rFonts w:ascii="Times New Roman" w:hAnsi="Times New Roman" w:cs="Arial"/>
          <w:sz w:val="20"/>
          <w:szCs w:val="20"/>
        </w:rPr>
        <w:t xml:space="preserve">tj. od I kw. </w:t>
      </w:r>
      <w:r w:rsidR="00C3135B">
        <w:rPr>
          <w:rFonts w:ascii="Times New Roman" w:hAnsi="Times New Roman" w:cs="Arial"/>
          <w:sz w:val="20"/>
          <w:szCs w:val="20"/>
        </w:rPr>
        <w:t>1999</w:t>
      </w:r>
      <w:r w:rsidR="00A00705">
        <w:rPr>
          <w:rFonts w:ascii="Times New Roman" w:hAnsi="Times New Roman" w:cs="Arial"/>
          <w:sz w:val="20"/>
          <w:szCs w:val="20"/>
        </w:rPr>
        <w:t xml:space="preserve"> r.</w:t>
      </w:r>
      <w:r w:rsidR="00C3135B">
        <w:rPr>
          <w:rFonts w:ascii="Times New Roman" w:hAnsi="Times New Roman" w:cs="Arial"/>
          <w:sz w:val="20"/>
          <w:szCs w:val="20"/>
        </w:rPr>
        <w:t>).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680"/>
      </w:tblGrid>
      <w:tr w:rsidR="00D55ED6" w:rsidRPr="00B13134" w:rsidTr="00415A43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:rsidR="00D55ED6" w:rsidRPr="00B13134" w:rsidRDefault="00D55ED6" w:rsidP="00415A43">
            <w:pPr>
              <w:pStyle w:val="A1"/>
              <w:keepNext/>
              <w:spacing w:after="0" w:line="288" w:lineRule="auto"/>
              <w:ind w:firstLine="0"/>
              <w:jc w:val="left"/>
              <w:rPr>
                <w:color w:val="E31837"/>
                <w:sz w:val="20"/>
                <w:szCs w:val="20"/>
                <w:highlight w:val="yellow"/>
              </w:rPr>
            </w:pPr>
            <w:r w:rsidRPr="00D475C5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 xml:space="preserve">Wyk. </w:t>
            </w:r>
            <w:r w:rsidR="009E157D" w:rsidRPr="00D475C5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>1</w:t>
            </w:r>
            <w:r w:rsidRPr="00D475C5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>. Wynik sektora instytucji rządowych i samorządowych ( w % PKB).</w:t>
            </w:r>
          </w:p>
        </w:tc>
      </w:tr>
      <w:tr w:rsidR="00D55ED6" w:rsidRPr="00B13134" w:rsidTr="001F3BE0">
        <w:tblPrEx>
          <w:tblCellMar>
            <w:left w:w="70" w:type="dxa"/>
            <w:right w:w="70" w:type="dxa"/>
          </w:tblCellMar>
        </w:tblPrEx>
        <w:tc>
          <w:tcPr>
            <w:tcW w:w="4680" w:type="dxa"/>
            <w:tcBorders>
              <w:top w:val="single" w:sz="8" w:space="0" w:color="ADAFB2"/>
            </w:tcBorders>
          </w:tcPr>
          <w:p w:rsidR="00D55ED6" w:rsidRPr="00B13134" w:rsidRDefault="001F3BE0" w:rsidP="00415A43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3C5094" wp14:editId="1763D1B8">
                  <wp:extent cx="2838450" cy="2052638"/>
                  <wp:effectExtent l="0" t="0" r="0" b="5080"/>
                  <wp:docPr id="13" name="Wykres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D55ED6" w:rsidRPr="00B13134" w:rsidTr="00415A43">
        <w:tc>
          <w:tcPr>
            <w:tcW w:w="4680" w:type="dxa"/>
          </w:tcPr>
          <w:p w:rsidR="00D55ED6" w:rsidRPr="00B13134" w:rsidRDefault="00D55ED6" w:rsidP="00415A43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highlight w:val="yellow"/>
                <w:lang w:eastAsia="pl-PL"/>
              </w:rPr>
            </w:pPr>
            <w:r w:rsidRPr="00D475C5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 xml:space="preserve">Źródło: </w:t>
            </w:r>
            <w:r w:rsidRPr="00D475C5">
              <w:rPr>
                <w:rFonts w:ascii="Times New Roman" w:hAnsi="Times New Roman" w:cs="Arial"/>
                <w:bCs/>
                <w:color w:val="ADAFB2"/>
                <w:sz w:val="20"/>
                <w:szCs w:val="20"/>
              </w:rPr>
              <w:t>Dane Eurostat, GUS, obliczenia własne</w:t>
            </w:r>
          </w:p>
        </w:tc>
      </w:tr>
    </w:tbl>
    <w:p w:rsidR="002460E7" w:rsidRPr="00E104AA" w:rsidRDefault="002460E7" w:rsidP="006B7502">
      <w:pPr>
        <w:pStyle w:val="Nagwek2"/>
        <w:spacing w:before="120" w:line="288" w:lineRule="auto"/>
        <w:rPr>
          <w:rFonts w:ascii="Arial" w:hAnsi="Arial" w:cs="Arial"/>
          <w:i w:val="0"/>
          <w:color w:val="E31837"/>
          <w:sz w:val="20"/>
          <w:szCs w:val="20"/>
        </w:rPr>
      </w:pPr>
      <w:bookmarkStart w:id="3" w:name="_Toc488656163"/>
      <w:r w:rsidRPr="00E104AA">
        <w:rPr>
          <w:rFonts w:ascii="Arial" w:hAnsi="Arial" w:cs="Arial"/>
          <w:i w:val="0"/>
          <w:color w:val="E31837"/>
          <w:sz w:val="20"/>
          <w:szCs w:val="20"/>
        </w:rPr>
        <w:t>1.</w:t>
      </w:r>
      <w:r w:rsidR="00D55ED6" w:rsidRPr="00E104AA">
        <w:rPr>
          <w:rFonts w:ascii="Arial" w:hAnsi="Arial" w:cs="Arial"/>
          <w:i w:val="0"/>
          <w:color w:val="E31837"/>
          <w:sz w:val="20"/>
          <w:szCs w:val="20"/>
        </w:rPr>
        <w:t>2</w:t>
      </w:r>
      <w:r w:rsidRPr="00E104AA">
        <w:rPr>
          <w:rFonts w:ascii="Arial" w:hAnsi="Arial" w:cs="Arial"/>
          <w:i w:val="0"/>
          <w:color w:val="E31837"/>
          <w:sz w:val="20"/>
          <w:szCs w:val="20"/>
        </w:rPr>
        <w:t>. Dochody</w:t>
      </w:r>
      <w:bookmarkEnd w:id="3"/>
    </w:p>
    <w:p w:rsidR="00562706" w:rsidRDefault="00E104AA" w:rsidP="006B7502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272E3A">
        <w:rPr>
          <w:rFonts w:ascii="Times New Roman" w:hAnsi="Times New Roman"/>
          <w:bCs/>
          <w:sz w:val="20"/>
          <w:szCs w:val="20"/>
        </w:rPr>
        <w:t>W I</w:t>
      </w:r>
      <w:r w:rsidR="0072464B" w:rsidRPr="00272E3A">
        <w:rPr>
          <w:rFonts w:ascii="Times New Roman" w:hAnsi="Times New Roman"/>
          <w:bCs/>
          <w:sz w:val="20"/>
          <w:szCs w:val="20"/>
        </w:rPr>
        <w:t xml:space="preserve"> kw.</w:t>
      </w:r>
      <w:r w:rsidRPr="00272E3A">
        <w:rPr>
          <w:rFonts w:ascii="Times New Roman" w:hAnsi="Times New Roman"/>
          <w:bCs/>
          <w:sz w:val="20"/>
          <w:szCs w:val="20"/>
        </w:rPr>
        <w:t xml:space="preserve"> 2017</w:t>
      </w:r>
      <w:r w:rsidR="002826C7" w:rsidRPr="00272E3A">
        <w:rPr>
          <w:rFonts w:ascii="Times New Roman" w:hAnsi="Times New Roman"/>
          <w:bCs/>
          <w:sz w:val="20"/>
          <w:szCs w:val="20"/>
        </w:rPr>
        <w:t xml:space="preserve"> r. dochody sektora</w:t>
      </w:r>
      <w:r w:rsidR="0072464B" w:rsidRPr="00272E3A">
        <w:rPr>
          <w:rFonts w:ascii="Times New Roman" w:hAnsi="Times New Roman"/>
          <w:bCs/>
          <w:sz w:val="20"/>
          <w:szCs w:val="20"/>
        </w:rPr>
        <w:t xml:space="preserve"> instytucji rządowych i </w:t>
      </w:r>
      <w:r w:rsidR="002826C7" w:rsidRPr="00272E3A">
        <w:rPr>
          <w:rFonts w:ascii="Times New Roman" w:hAnsi="Times New Roman"/>
          <w:bCs/>
          <w:sz w:val="20"/>
          <w:szCs w:val="20"/>
        </w:rPr>
        <w:t>samorządowych</w:t>
      </w:r>
      <w:r w:rsidR="0020557E" w:rsidRPr="00272E3A">
        <w:rPr>
          <w:rFonts w:ascii="Times New Roman" w:hAnsi="Times New Roman"/>
          <w:bCs/>
          <w:sz w:val="20"/>
          <w:szCs w:val="20"/>
        </w:rPr>
        <w:t xml:space="preserve"> (</w:t>
      </w:r>
      <w:r w:rsidRPr="00272E3A">
        <w:rPr>
          <w:rFonts w:ascii="Times New Roman" w:hAnsi="Times New Roman"/>
          <w:bCs/>
          <w:sz w:val="20"/>
          <w:szCs w:val="20"/>
        </w:rPr>
        <w:t>wg zasad ESA2010) wyniosły 186,7</w:t>
      </w:r>
      <w:r w:rsidR="0072464B" w:rsidRPr="00272E3A">
        <w:rPr>
          <w:rFonts w:ascii="Times New Roman" w:hAnsi="Times New Roman"/>
          <w:bCs/>
          <w:sz w:val="20"/>
          <w:szCs w:val="20"/>
        </w:rPr>
        <w:t> </w:t>
      </w:r>
      <w:r w:rsidR="002826C7" w:rsidRPr="00272E3A">
        <w:rPr>
          <w:rFonts w:ascii="Times New Roman" w:hAnsi="Times New Roman"/>
          <w:bCs/>
          <w:sz w:val="20"/>
          <w:szCs w:val="20"/>
        </w:rPr>
        <w:t>ml</w:t>
      </w:r>
      <w:r w:rsidR="00A43C11" w:rsidRPr="00272E3A">
        <w:rPr>
          <w:rFonts w:ascii="Times New Roman" w:hAnsi="Times New Roman"/>
          <w:bCs/>
          <w:sz w:val="20"/>
          <w:szCs w:val="20"/>
        </w:rPr>
        <w:t>d</w:t>
      </w:r>
      <w:r w:rsidR="002826C7" w:rsidRPr="00272E3A">
        <w:rPr>
          <w:rFonts w:ascii="Times New Roman" w:hAnsi="Times New Roman"/>
          <w:bCs/>
          <w:sz w:val="20"/>
          <w:szCs w:val="20"/>
        </w:rPr>
        <w:t xml:space="preserve"> zł </w:t>
      </w:r>
      <w:r w:rsidR="00F7689E">
        <w:rPr>
          <w:rFonts w:ascii="Times New Roman" w:hAnsi="Times New Roman"/>
          <w:bCs/>
          <w:sz w:val="20"/>
          <w:szCs w:val="20"/>
        </w:rPr>
        <w:t xml:space="preserve">(tj. 41,1 % PKB) </w:t>
      </w:r>
      <w:r w:rsidR="002826C7" w:rsidRPr="00272E3A">
        <w:rPr>
          <w:rFonts w:ascii="Times New Roman" w:hAnsi="Times New Roman"/>
          <w:bCs/>
          <w:sz w:val="20"/>
          <w:szCs w:val="20"/>
        </w:rPr>
        <w:t xml:space="preserve">i były </w:t>
      </w:r>
      <w:r w:rsidR="00272E3A" w:rsidRPr="00272E3A">
        <w:rPr>
          <w:rFonts w:ascii="Times New Roman" w:hAnsi="Times New Roman"/>
          <w:bCs/>
          <w:sz w:val="20"/>
          <w:szCs w:val="20"/>
        </w:rPr>
        <w:t>wyższe</w:t>
      </w:r>
      <w:r w:rsidR="002826C7" w:rsidRPr="00272E3A">
        <w:rPr>
          <w:rFonts w:ascii="Times New Roman" w:hAnsi="Times New Roman"/>
          <w:bCs/>
          <w:sz w:val="20"/>
          <w:szCs w:val="20"/>
        </w:rPr>
        <w:t xml:space="preserve"> od wykonania dochodów w</w:t>
      </w:r>
      <w:r w:rsidR="00A700BC" w:rsidRPr="00272E3A">
        <w:rPr>
          <w:rFonts w:ascii="Times New Roman" w:hAnsi="Times New Roman"/>
          <w:bCs/>
          <w:sz w:val="20"/>
          <w:szCs w:val="20"/>
        </w:rPr>
        <w:t> </w:t>
      </w:r>
      <w:r w:rsidR="002826C7" w:rsidRPr="00272E3A">
        <w:rPr>
          <w:rFonts w:ascii="Times New Roman" w:hAnsi="Times New Roman"/>
          <w:bCs/>
          <w:sz w:val="20"/>
          <w:szCs w:val="20"/>
        </w:rPr>
        <w:t>analogicznym</w:t>
      </w:r>
      <w:r w:rsidR="0052514A" w:rsidRPr="00272E3A">
        <w:rPr>
          <w:rFonts w:ascii="Times New Roman" w:hAnsi="Times New Roman"/>
          <w:bCs/>
          <w:sz w:val="20"/>
          <w:szCs w:val="20"/>
        </w:rPr>
        <w:t xml:space="preserve"> okresie roku poprzedniego </w:t>
      </w:r>
      <w:r w:rsidR="00272E3A" w:rsidRPr="00272E3A">
        <w:rPr>
          <w:rFonts w:ascii="Times New Roman" w:hAnsi="Times New Roman"/>
          <w:bCs/>
          <w:sz w:val="20"/>
          <w:szCs w:val="20"/>
        </w:rPr>
        <w:t xml:space="preserve">aż </w:t>
      </w:r>
      <w:r w:rsidR="0052514A" w:rsidRPr="00272E3A">
        <w:rPr>
          <w:rFonts w:ascii="Times New Roman" w:hAnsi="Times New Roman"/>
          <w:bCs/>
          <w:sz w:val="20"/>
          <w:szCs w:val="20"/>
        </w:rPr>
        <w:t>o </w:t>
      </w:r>
      <w:r w:rsidR="00272E3A" w:rsidRPr="00272E3A">
        <w:rPr>
          <w:rFonts w:ascii="Times New Roman" w:hAnsi="Times New Roman"/>
          <w:bCs/>
          <w:sz w:val="20"/>
          <w:szCs w:val="20"/>
        </w:rPr>
        <w:t>8,7</w:t>
      </w:r>
      <w:r w:rsidR="002826C7" w:rsidRPr="00272E3A">
        <w:rPr>
          <w:rFonts w:ascii="Times New Roman" w:hAnsi="Times New Roman"/>
          <w:bCs/>
          <w:sz w:val="20"/>
          <w:szCs w:val="20"/>
        </w:rPr>
        <w:t>%</w:t>
      </w:r>
      <w:r w:rsidR="00F7689E">
        <w:rPr>
          <w:rFonts w:ascii="Times New Roman" w:hAnsi="Times New Roman"/>
          <w:bCs/>
          <w:sz w:val="20"/>
          <w:szCs w:val="20"/>
        </w:rPr>
        <w:t xml:space="preserve"> </w:t>
      </w:r>
      <w:r w:rsidR="0072464B" w:rsidRPr="00272E3A">
        <w:rPr>
          <w:rFonts w:ascii="Times New Roman" w:hAnsi="Times New Roman"/>
          <w:bCs/>
          <w:sz w:val="20"/>
          <w:szCs w:val="20"/>
        </w:rPr>
        <w:t>r/r</w:t>
      </w:r>
      <w:r w:rsidR="002A1BD0" w:rsidRPr="00272E3A">
        <w:rPr>
          <w:rFonts w:ascii="Times New Roman" w:hAnsi="Times New Roman"/>
          <w:bCs/>
          <w:sz w:val="20"/>
          <w:szCs w:val="20"/>
        </w:rPr>
        <w:t xml:space="preserve">, co wynikało </w:t>
      </w:r>
      <w:r w:rsidR="00272E3A" w:rsidRPr="00272E3A">
        <w:rPr>
          <w:rFonts w:ascii="Times New Roman" w:hAnsi="Times New Roman"/>
          <w:bCs/>
          <w:sz w:val="20"/>
          <w:szCs w:val="20"/>
        </w:rPr>
        <w:t>przede wszystkim ze</w:t>
      </w:r>
      <w:r w:rsidR="0095058D" w:rsidRPr="00272E3A">
        <w:rPr>
          <w:rFonts w:ascii="Times New Roman" w:hAnsi="Times New Roman"/>
          <w:bCs/>
          <w:sz w:val="20"/>
          <w:szCs w:val="20"/>
        </w:rPr>
        <w:t xml:space="preserve"> wzrost</w:t>
      </w:r>
      <w:r w:rsidR="00272E3A" w:rsidRPr="00272E3A">
        <w:rPr>
          <w:rFonts w:ascii="Times New Roman" w:hAnsi="Times New Roman"/>
          <w:bCs/>
          <w:sz w:val="20"/>
          <w:szCs w:val="20"/>
        </w:rPr>
        <w:t>u</w:t>
      </w:r>
      <w:r w:rsidR="0095058D" w:rsidRPr="00272E3A">
        <w:rPr>
          <w:rFonts w:ascii="Times New Roman" w:hAnsi="Times New Roman"/>
          <w:bCs/>
          <w:sz w:val="20"/>
          <w:szCs w:val="20"/>
        </w:rPr>
        <w:t xml:space="preserve"> </w:t>
      </w:r>
      <w:r w:rsidR="00272E3A" w:rsidRPr="00272E3A">
        <w:rPr>
          <w:rFonts w:ascii="Times New Roman" w:hAnsi="Times New Roman"/>
          <w:bCs/>
          <w:sz w:val="20"/>
          <w:szCs w:val="20"/>
        </w:rPr>
        <w:t xml:space="preserve">dochodów z </w:t>
      </w:r>
      <w:r w:rsidR="0095058D" w:rsidRPr="00272E3A">
        <w:rPr>
          <w:rFonts w:ascii="Times New Roman" w:hAnsi="Times New Roman"/>
          <w:bCs/>
          <w:sz w:val="20"/>
          <w:szCs w:val="20"/>
        </w:rPr>
        <w:t>podatk</w:t>
      </w:r>
      <w:r w:rsidR="00B83D13" w:rsidRPr="00272E3A">
        <w:rPr>
          <w:rFonts w:ascii="Times New Roman" w:hAnsi="Times New Roman"/>
          <w:bCs/>
          <w:sz w:val="20"/>
          <w:szCs w:val="20"/>
        </w:rPr>
        <w:t>ów</w:t>
      </w:r>
      <w:r w:rsidR="0095058D" w:rsidRPr="00272E3A">
        <w:rPr>
          <w:rStyle w:val="Odwoanieprzypisudolnego"/>
          <w:rFonts w:ascii="Times New Roman" w:hAnsi="Times New Roman"/>
          <w:bCs/>
          <w:sz w:val="20"/>
          <w:szCs w:val="20"/>
        </w:rPr>
        <w:footnoteReference w:id="1"/>
      </w:r>
      <w:r w:rsidR="0052514A" w:rsidRPr="00272E3A">
        <w:rPr>
          <w:rFonts w:ascii="Times New Roman" w:hAnsi="Times New Roman"/>
          <w:bCs/>
          <w:sz w:val="20"/>
          <w:szCs w:val="20"/>
        </w:rPr>
        <w:t xml:space="preserve"> </w:t>
      </w:r>
      <w:r w:rsidR="009002E8">
        <w:rPr>
          <w:rFonts w:ascii="Times New Roman" w:hAnsi="Times New Roman"/>
          <w:bCs/>
          <w:sz w:val="20"/>
          <w:szCs w:val="20"/>
        </w:rPr>
        <w:t>o </w:t>
      </w:r>
      <w:r w:rsidR="00272E3A" w:rsidRPr="00272E3A">
        <w:rPr>
          <w:rFonts w:ascii="Times New Roman" w:hAnsi="Times New Roman"/>
          <w:bCs/>
          <w:sz w:val="20"/>
          <w:szCs w:val="20"/>
        </w:rPr>
        <w:t>13,7%</w:t>
      </w:r>
      <w:r w:rsidR="00F7689E">
        <w:rPr>
          <w:rFonts w:ascii="Times New Roman" w:hAnsi="Times New Roman"/>
          <w:bCs/>
          <w:sz w:val="20"/>
          <w:szCs w:val="20"/>
        </w:rPr>
        <w:t xml:space="preserve">  </w:t>
      </w:r>
      <w:r w:rsidR="00272E3A" w:rsidRPr="00272E3A">
        <w:rPr>
          <w:rFonts w:ascii="Times New Roman" w:hAnsi="Times New Roman"/>
          <w:bCs/>
          <w:sz w:val="20"/>
          <w:szCs w:val="20"/>
        </w:rPr>
        <w:t>r/r.</w:t>
      </w:r>
      <w:r w:rsidR="0095058D" w:rsidRPr="00272E3A">
        <w:rPr>
          <w:rFonts w:ascii="Times New Roman" w:hAnsi="Times New Roman"/>
          <w:bCs/>
          <w:sz w:val="20"/>
          <w:szCs w:val="20"/>
        </w:rPr>
        <w:t xml:space="preserve"> </w:t>
      </w:r>
    </w:p>
    <w:p w:rsidR="001E4C58" w:rsidRPr="00272E3A" w:rsidRDefault="001E4C58" w:rsidP="006B7502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Największy udział we wzroście dochodów podatkowych miały dochody z tytułu VAT</w:t>
      </w:r>
      <w:r w:rsidR="00894A57">
        <w:rPr>
          <w:rFonts w:ascii="Times New Roman" w:hAnsi="Times New Roman"/>
          <w:bCs/>
          <w:sz w:val="20"/>
          <w:szCs w:val="20"/>
        </w:rPr>
        <w:t xml:space="preserve"> </w:t>
      </w:r>
      <w:r w:rsidR="00C034F5">
        <w:rPr>
          <w:rFonts w:ascii="Times New Roman" w:hAnsi="Times New Roman"/>
          <w:bCs/>
          <w:sz w:val="20"/>
          <w:szCs w:val="20"/>
        </w:rPr>
        <w:t>(7,7 % PKB</w:t>
      </w:r>
      <w:r>
        <w:rPr>
          <w:rFonts w:ascii="Times New Roman" w:hAnsi="Times New Roman"/>
          <w:bCs/>
          <w:sz w:val="20"/>
          <w:szCs w:val="20"/>
        </w:rPr>
        <w:t>, które</w:t>
      </w:r>
      <w:r w:rsidRPr="001E4C58"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(</w:t>
      </w:r>
      <w:r w:rsidRPr="00E104AA">
        <w:rPr>
          <w:rFonts w:ascii="Times New Roman" w:hAnsi="Times New Roman"/>
          <w:bCs/>
          <w:sz w:val="20"/>
          <w:szCs w:val="20"/>
        </w:rPr>
        <w:t>wg zasad ESA2010</w:t>
      </w:r>
      <w:r>
        <w:rPr>
          <w:rFonts w:ascii="Times New Roman" w:hAnsi="Times New Roman"/>
          <w:bCs/>
          <w:sz w:val="20"/>
          <w:szCs w:val="20"/>
        </w:rPr>
        <w:t>)</w:t>
      </w:r>
      <w:r w:rsidR="009002E8">
        <w:rPr>
          <w:rFonts w:ascii="Times New Roman" w:hAnsi="Times New Roman"/>
          <w:bCs/>
          <w:sz w:val="20"/>
          <w:szCs w:val="20"/>
        </w:rPr>
        <w:t xml:space="preserve">, w I kw. 2017 r. były </w:t>
      </w:r>
      <w:r w:rsidR="009002E8">
        <w:rPr>
          <w:rFonts w:ascii="Times New Roman" w:hAnsi="Times New Roman"/>
          <w:bCs/>
          <w:sz w:val="20"/>
          <w:szCs w:val="20"/>
        </w:rPr>
        <w:lastRenderedPageBreak/>
        <w:t>o </w:t>
      </w:r>
      <w:r w:rsidRPr="00E104AA">
        <w:rPr>
          <w:rFonts w:ascii="Times New Roman" w:hAnsi="Times New Roman"/>
          <w:bCs/>
          <w:sz w:val="20"/>
          <w:szCs w:val="20"/>
        </w:rPr>
        <w:t>39,2% wyższe niż w analogicznym okresie 2016</w:t>
      </w:r>
      <w:r w:rsidR="009002E8">
        <w:rPr>
          <w:rFonts w:ascii="Times New Roman" w:hAnsi="Times New Roman"/>
          <w:bCs/>
          <w:sz w:val="20"/>
          <w:szCs w:val="20"/>
        </w:rPr>
        <w:t> </w:t>
      </w:r>
      <w:r w:rsidRPr="00E104AA">
        <w:rPr>
          <w:rFonts w:ascii="Times New Roman" w:hAnsi="Times New Roman"/>
          <w:bCs/>
          <w:sz w:val="20"/>
          <w:szCs w:val="20"/>
        </w:rPr>
        <w:t xml:space="preserve">r. </w:t>
      </w:r>
      <w:r w:rsidR="00C034F5">
        <w:rPr>
          <w:rFonts w:ascii="Times New Roman" w:hAnsi="Times New Roman"/>
          <w:bCs/>
          <w:sz w:val="20"/>
          <w:szCs w:val="20"/>
        </w:rPr>
        <w:t>Tak duży wzrost wynika w części z efektu niskiej bazy statystycznej</w:t>
      </w:r>
      <w:r w:rsidR="00C635D9">
        <w:rPr>
          <w:rFonts w:ascii="Times New Roman" w:hAnsi="Times New Roman"/>
          <w:bCs/>
          <w:sz w:val="20"/>
          <w:szCs w:val="20"/>
        </w:rPr>
        <w:t xml:space="preserve"> </w:t>
      </w:r>
      <w:r w:rsidR="00C034F5">
        <w:rPr>
          <w:rFonts w:ascii="Times New Roman" w:hAnsi="Times New Roman"/>
          <w:bCs/>
          <w:sz w:val="20"/>
          <w:szCs w:val="20"/>
        </w:rPr>
        <w:t xml:space="preserve">(dochody z VAT w I kw. 2016 r. były wyjątkowo niskie </w:t>
      </w:r>
      <w:r w:rsidR="00894A57">
        <w:rPr>
          <w:rFonts w:ascii="Times New Roman" w:hAnsi="Times New Roman"/>
          <w:bCs/>
          <w:sz w:val="20"/>
          <w:szCs w:val="20"/>
        </w:rPr>
        <w:t>w</w:t>
      </w:r>
      <w:r w:rsidR="00C034F5">
        <w:rPr>
          <w:rFonts w:ascii="Times New Roman" w:hAnsi="Times New Roman"/>
          <w:bCs/>
          <w:sz w:val="20"/>
          <w:szCs w:val="20"/>
        </w:rPr>
        <w:t xml:space="preserve"> relacji do PKB ukształtowały się na rekordowo niskim poziomie 5,5% PKB</w:t>
      </w:r>
      <w:r w:rsidR="00C635D9">
        <w:rPr>
          <w:rFonts w:ascii="Times New Roman" w:hAnsi="Times New Roman"/>
          <w:bCs/>
          <w:sz w:val="20"/>
          <w:szCs w:val="20"/>
        </w:rPr>
        <w:t>,</w:t>
      </w:r>
      <w:r w:rsidR="00C034F5">
        <w:rPr>
          <w:rFonts w:ascii="Times New Roman" w:hAnsi="Times New Roman"/>
          <w:bCs/>
          <w:sz w:val="20"/>
          <w:szCs w:val="20"/>
        </w:rPr>
        <w:t xml:space="preserve"> przy średniej </w:t>
      </w:r>
      <w:r w:rsidR="009002E8">
        <w:rPr>
          <w:rFonts w:ascii="Times New Roman" w:hAnsi="Times New Roman"/>
          <w:bCs/>
          <w:sz w:val="20"/>
          <w:szCs w:val="20"/>
        </w:rPr>
        <w:t>z </w:t>
      </w:r>
      <w:r w:rsidR="00C635D9">
        <w:rPr>
          <w:rFonts w:ascii="Times New Roman" w:hAnsi="Times New Roman"/>
          <w:bCs/>
          <w:sz w:val="20"/>
          <w:szCs w:val="20"/>
        </w:rPr>
        <w:t xml:space="preserve">ostatnich 15 lat </w:t>
      </w:r>
      <w:r w:rsidR="00C034F5">
        <w:rPr>
          <w:rFonts w:ascii="Times New Roman" w:hAnsi="Times New Roman"/>
          <w:bCs/>
          <w:sz w:val="20"/>
          <w:szCs w:val="20"/>
        </w:rPr>
        <w:t>na poziomie 7% PKB</w:t>
      </w:r>
      <w:r w:rsidR="00894A57">
        <w:rPr>
          <w:rFonts w:ascii="Times New Roman" w:hAnsi="Times New Roman"/>
          <w:bCs/>
          <w:sz w:val="20"/>
          <w:szCs w:val="20"/>
        </w:rPr>
        <w:t>)</w:t>
      </w:r>
      <w:r w:rsidR="00C034F5">
        <w:rPr>
          <w:rFonts w:ascii="Times New Roman" w:hAnsi="Times New Roman"/>
          <w:bCs/>
          <w:sz w:val="20"/>
          <w:szCs w:val="20"/>
        </w:rPr>
        <w:t xml:space="preserve">. </w:t>
      </w:r>
      <w:r w:rsidR="00C635D9">
        <w:rPr>
          <w:rFonts w:ascii="Times New Roman" w:hAnsi="Times New Roman"/>
          <w:bCs/>
          <w:sz w:val="20"/>
          <w:szCs w:val="20"/>
        </w:rPr>
        <w:t xml:space="preserve">Na dobre wykonanie VAT wpływ miały także </w:t>
      </w:r>
      <w:r w:rsidRPr="00E104AA">
        <w:rPr>
          <w:rFonts w:ascii="Times New Roman" w:hAnsi="Times New Roman"/>
          <w:bCs/>
          <w:sz w:val="20"/>
          <w:szCs w:val="20"/>
        </w:rPr>
        <w:t>wzrost nominalnej sprzedaży detalicznej oraz nominalnej produkcji sprzedanej</w:t>
      </w:r>
      <w:r w:rsidR="00C11646">
        <w:rPr>
          <w:rFonts w:ascii="Times New Roman" w:hAnsi="Times New Roman"/>
          <w:bCs/>
          <w:sz w:val="20"/>
          <w:szCs w:val="20"/>
        </w:rPr>
        <w:t>.</w:t>
      </w:r>
      <w:r w:rsidRPr="00E104AA">
        <w:rPr>
          <w:rFonts w:ascii="Times New Roman" w:hAnsi="Times New Roman"/>
          <w:bCs/>
          <w:sz w:val="20"/>
          <w:szCs w:val="20"/>
        </w:rPr>
        <w:t xml:space="preserve"> </w:t>
      </w:r>
      <w:r w:rsidR="00C11646">
        <w:rPr>
          <w:rFonts w:ascii="Times New Roman" w:hAnsi="Times New Roman"/>
          <w:bCs/>
          <w:sz w:val="20"/>
          <w:szCs w:val="20"/>
        </w:rPr>
        <w:t>O</w:t>
      </w:r>
      <w:r w:rsidRPr="00E104AA">
        <w:rPr>
          <w:rFonts w:ascii="Times New Roman" w:hAnsi="Times New Roman"/>
          <w:bCs/>
          <w:sz w:val="20"/>
          <w:szCs w:val="20"/>
        </w:rPr>
        <w:t xml:space="preserve">prócz czynników makroekonomicznych, </w:t>
      </w:r>
      <w:r w:rsidR="00894A57">
        <w:rPr>
          <w:rFonts w:ascii="Times New Roman" w:hAnsi="Times New Roman"/>
          <w:bCs/>
          <w:sz w:val="20"/>
          <w:szCs w:val="20"/>
        </w:rPr>
        <w:t>widoczne były efekty zmian</w:t>
      </w:r>
      <w:r w:rsidRPr="00E104AA">
        <w:rPr>
          <w:rFonts w:ascii="Times New Roman" w:hAnsi="Times New Roman"/>
          <w:bCs/>
          <w:sz w:val="20"/>
          <w:szCs w:val="20"/>
        </w:rPr>
        <w:t xml:space="preserve"> w przepisach podatkowych u</w:t>
      </w:r>
      <w:r w:rsidR="004725C8">
        <w:rPr>
          <w:rFonts w:ascii="Times New Roman" w:hAnsi="Times New Roman"/>
          <w:bCs/>
          <w:sz w:val="20"/>
          <w:szCs w:val="20"/>
        </w:rPr>
        <w:t>szczelniające system poboru VAT</w:t>
      </w:r>
      <w:r w:rsidR="00894A57">
        <w:rPr>
          <w:rFonts w:ascii="Times New Roman" w:hAnsi="Times New Roman"/>
          <w:bCs/>
          <w:sz w:val="20"/>
          <w:szCs w:val="20"/>
        </w:rPr>
        <w:t>.</w:t>
      </w:r>
      <w:r w:rsidR="004725C8">
        <w:rPr>
          <w:rFonts w:ascii="Times New Roman" w:hAnsi="Times New Roman"/>
          <w:bCs/>
          <w:sz w:val="20"/>
          <w:szCs w:val="20"/>
        </w:rPr>
        <w:t xml:space="preserve"> 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680"/>
      </w:tblGrid>
      <w:tr w:rsidR="00CE4AD9" w:rsidRPr="00B13134" w:rsidTr="00415A43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:rsidR="00CE4AD9" w:rsidRPr="00604D2C" w:rsidRDefault="00CE4AD9" w:rsidP="00095F03">
            <w:pPr>
              <w:keepNext/>
              <w:spacing w:before="120" w:after="0" w:line="288" w:lineRule="auto"/>
              <w:rPr>
                <w:rFonts w:ascii="Times New Roman" w:hAnsi="Times New Roman"/>
                <w:color w:val="E31837"/>
                <w:sz w:val="20"/>
                <w:szCs w:val="20"/>
                <w:lang w:eastAsia="pl-PL"/>
              </w:rPr>
            </w:pPr>
            <w:r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 xml:space="preserve">Wyk. </w:t>
            </w:r>
            <w:r w:rsidR="009E157D"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2</w:t>
            </w:r>
            <w:r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. Struktura dochodów sektora instytucji rządowy</w:t>
            </w:r>
            <w:r w:rsidR="00092DA3"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ch i samorządowych w I kw. 201</w:t>
            </w:r>
            <w:r w:rsidR="00095F03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7</w:t>
            </w:r>
            <w:r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 xml:space="preserve"> r.</w:t>
            </w:r>
          </w:p>
        </w:tc>
      </w:tr>
      <w:tr w:rsidR="00CE4AD9" w:rsidRPr="00B13134" w:rsidTr="00D77324">
        <w:tblPrEx>
          <w:tblCellMar>
            <w:left w:w="70" w:type="dxa"/>
            <w:right w:w="70" w:type="dxa"/>
          </w:tblCellMar>
        </w:tblPrEx>
        <w:tc>
          <w:tcPr>
            <w:tcW w:w="4680" w:type="dxa"/>
            <w:tcBorders>
              <w:top w:val="single" w:sz="8" w:space="0" w:color="ADAFB2"/>
            </w:tcBorders>
          </w:tcPr>
          <w:p w:rsidR="00CE4AD9" w:rsidRPr="00604D2C" w:rsidRDefault="00604D2C" w:rsidP="00CE4AD9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 w:rsidRPr="00604D2C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5D258CCD" wp14:editId="04978069">
                  <wp:extent cx="2933395" cy="1819933"/>
                  <wp:effectExtent l="0" t="0" r="635" b="889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431" cy="1821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D9" w:rsidRPr="00B13134" w:rsidTr="00415A43">
        <w:tc>
          <w:tcPr>
            <w:tcW w:w="4680" w:type="dxa"/>
          </w:tcPr>
          <w:p w:rsidR="00CE4AD9" w:rsidRPr="00604D2C" w:rsidRDefault="00CE4AD9" w:rsidP="00CE4AD9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604D2C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 xml:space="preserve">Źródło: Dane Eurostat, GUS, obliczenia własne </w:t>
            </w:r>
          </w:p>
        </w:tc>
      </w:tr>
    </w:tbl>
    <w:p w:rsidR="00E104AA" w:rsidRPr="00E104AA" w:rsidRDefault="00E104AA" w:rsidP="00E104AA">
      <w:pPr>
        <w:widowControl w:val="0"/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E104AA">
        <w:rPr>
          <w:rFonts w:ascii="Times New Roman" w:hAnsi="Times New Roman"/>
          <w:bCs/>
          <w:sz w:val="20"/>
          <w:szCs w:val="20"/>
        </w:rPr>
        <w:t xml:space="preserve">Dochody sektora </w:t>
      </w:r>
      <w:r w:rsidR="00E2793B">
        <w:rPr>
          <w:rFonts w:ascii="Times New Roman" w:hAnsi="Times New Roman"/>
          <w:bCs/>
          <w:sz w:val="20"/>
          <w:szCs w:val="20"/>
        </w:rPr>
        <w:t xml:space="preserve">instytucji rządowych i samorządowych </w:t>
      </w:r>
      <w:r w:rsidRPr="00E104AA">
        <w:rPr>
          <w:rFonts w:ascii="Times New Roman" w:hAnsi="Times New Roman"/>
          <w:bCs/>
          <w:sz w:val="20"/>
          <w:szCs w:val="20"/>
        </w:rPr>
        <w:t xml:space="preserve">z PIT, wg zasad ESA2010, wyniosły w I kw. 2017 r. 20,2 mld zł i były wyższe o 7,6% r/r. </w:t>
      </w:r>
      <w:r w:rsidR="0096120F">
        <w:rPr>
          <w:rFonts w:ascii="Times New Roman" w:hAnsi="Times New Roman"/>
          <w:bCs/>
          <w:sz w:val="20"/>
          <w:szCs w:val="20"/>
        </w:rPr>
        <w:t>N</w:t>
      </w:r>
      <w:r w:rsidRPr="00E104AA">
        <w:rPr>
          <w:rFonts w:ascii="Times New Roman" w:hAnsi="Times New Roman"/>
          <w:bCs/>
          <w:sz w:val="20"/>
          <w:szCs w:val="20"/>
        </w:rPr>
        <w:t>ominalne tempo wzrostu przeciętnego funduszu wynagrodzeń w gospodarce narodowej oraz emerytur i</w:t>
      </w:r>
      <w:r w:rsidR="00F7689E">
        <w:rPr>
          <w:rFonts w:ascii="Times New Roman" w:hAnsi="Times New Roman"/>
          <w:bCs/>
          <w:sz w:val="20"/>
          <w:szCs w:val="20"/>
        </w:rPr>
        <w:t> </w:t>
      </w:r>
      <w:r w:rsidRPr="00E104AA">
        <w:rPr>
          <w:rFonts w:ascii="Times New Roman" w:hAnsi="Times New Roman"/>
          <w:bCs/>
          <w:sz w:val="20"/>
          <w:szCs w:val="20"/>
        </w:rPr>
        <w:t xml:space="preserve">rent </w:t>
      </w:r>
      <w:r w:rsidR="0096120F">
        <w:rPr>
          <w:rFonts w:ascii="Times New Roman" w:hAnsi="Times New Roman"/>
          <w:bCs/>
          <w:sz w:val="20"/>
          <w:szCs w:val="20"/>
        </w:rPr>
        <w:t xml:space="preserve">(bez tzw. jednostek małych) </w:t>
      </w:r>
      <w:r w:rsidRPr="00E104AA">
        <w:rPr>
          <w:rFonts w:ascii="Times New Roman" w:hAnsi="Times New Roman"/>
          <w:bCs/>
          <w:sz w:val="20"/>
          <w:szCs w:val="20"/>
        </w:rPr>
        <w:t>w I kw. 2017</w:t>
      </w:r>
      <w:r w:rsidR="0096120F">
        <w:rPr>
          <w:rFonts w:ascii="Times New Roman" w:hAnsi="Times New Roman"/>
          <w:bCs/>
          <w:sz w:val="20"/>
          <w:szCs w:val="20"/>
        </w:rPr>
        <w:t> </w:t>
      </w:r>
      <w:r w:rsidRPr="00E104AA">
        <w:rPr>
          <w:rFonts w:ascii="Times New Roman" w:hAnsi="Times New Roman"/>
          <w:bCs/>
          <w:sz w:val="20"/>
          <w:szCs w:val="20"/>
        </w:rPr>
        <w:t>r. wyni</w:t>
      </w:r>
      <w:r w:rsidR="0096120F">
        <w:rPr>
          <w:rFonts w:ascii="Times New Roman" w:hAnsi="Times New Roman"/>
          <w:bCs/>
          <w:sz w:val="20"/>
          <w:szCs w:val="20"/>
        </w:rPr>
        <w:t>osło</w:t>
      </w:r>
      <w:r w:rsidRPr="00E104AA">
        <w:rPr>
          <w:rFonts w:ascii="Times New Roman" w:hAnsi="Times New Roman"/>
          <w:bCs/>
          <w:sz w:val="20"/>
          <w:szCs w:val="20"/>
        </w:rPr>
        <w:t xml:space="preserve"> 5,5% r/r. Dobra sytuacja na rynku pracy przełożyła się na stosunkowo wysokie dochody ze skali podatkowej (wzrost o 7,9% r/r). Wysokie były również wpływy od osób prowadzących działalność gospodarczą. Wpływy z tzw. podatku giełdowego oraz z podatku od odsetek zostały zrealizowane na poziomie ubiegłorocznym.</w:t>
      </w:r>
    </w:p>
    <w:p w:rsidR="00403B4E" w:rsidRPr="00E104AA" w:rsidRDefault="00403B4E" w:rsidP="00403B4E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E104AA">
        <w:rPr>
          <w:rFonts w:ascii="Times New Roman" w:hAnsi="Times New Roman"/>
          <w:bCs/>
          <w:sz w:val="20"/>
          <w:szCs w:val="20"/>
        </w:rPr>
        <w:t xml:space="preserve">Dochody </w:t>
      </w:r>
      <w:r w:rsidR="00E2793B" w:rsidRPr="00E104AA">
        <w:rPr>
          <w:rFonts w:ascii="Times New Roman" w:hAnsi="Times New Roman"/>
          <w:bCs/>
          <w:sz w:val="20"/>
          <w:szCs w:val="20"/>
        </w:rPr>
        <w:t xml:space="preserve">sektora </w:t>
      </w:r>
      <w:r w:rsidR="00E2793B">
        <w:rPr>
          <w:rFonts w:ascii="Times New Roman" w:hAnsi="Times New Roman"/>
          <w:bCs/>
          <w:sz w:val="20"/>
          <w:szCs w:val="20"/>
        </w:rPr>
        <w:t xml:space="preserve">instytucji rządowych i samorządowych </w:t>
      </w:r>
      <w:r w:rsidRPr="00E104AA">
        <w:rPr>
          <w:rFonts w:ascii="Times New Roman" w:hAnsi="Times New Roman"/>
          <w:bCs/>
          <w:sz w:val="20"/>
          <w:szCs w:val="20"/>
        </w:rPr>
        <w:t xml:space="preserve">z CIT, wg zasad ESA2010, wyniosły w I kw. 2017 r. 13,3 mld zł i były wyższe o 15,6% r/r. Wpływy od banków i pozostałych instytucji finansowych wzrosły o 42,4% r/r, a wpływy od pozostałych przedsiębiorstw wzrosły o 12,4% r/r. Wysokie wpływy w I kw. wynikają z rozliczenia </w:t>
      </w:r>
      <w:r w:rsidRPr="00E104AA">
        <w:rPr>
          <w:rFonts w:ascii="Times New Roman" w:hAnsi="Times New Roman"/>
          <w:bCs/>
          <w:sz w:val="20"/>
          <w:szCs w:val="20"/>
        </w:rPr>
        <w:lastRenderedPageBreak/>
        <w:t xml:space="preserve">rocznego podatku - do końca marca podatnicy zobowiązani są zapłacić różnice pomiędzy podatkiem należnym a zapłaconym zaliczkowo podatkiem za 2016 r. W I kw. 2017 r. polepszyła się sytuacja przedsiębiorców. Wg GUS wynik finansowy brutto przedsiębiorstw niefinansowych zwiększył się o 20,0% r/r, a zysk brutto tych podmiotów wzrósł o 16,0% r/r. Natomiast wynik finansowy brutto banków w </w:t>
      </w:r>
      <w:r>
        <w:rPr>
          <w:rFonts w:ascii="Times New Roman" w:hAnsi="Times New Roman"/>
          <w:bCs/>
          <w:sz w:val="20"/>
          <w:szCs w:val="20"/>
        </w:rPr>
        <w:t>I</w:t>
      </w:r>
      <w:r w:rsidRPr="00E104AA">
        <w:rPr>
          <w:rFonts w:ascii="Times New Roman" w:hAnsi="Times New Roman"/>
          <w:bCs/>
          <w:sz w:val="20"/>
          <w:szCs w:val="20"/>
        </w:rPr>
        <w:t xml:space="preserve"> kw</w:t>
      </w:r>
      <w:r>
        <w:rPr>
          <w:rFonts w:ascii="Times New Roman" w:hAnsi="Times New Roman"/>
          <w:bCs/>
          <w:sz w:val="20"/>
          <w:szCs w:val="20"/>
        </w:rPr>
        <w:t>.</w:t>
      </w:r>
      <w:r w:rsidRPr="00E104AA">
        <w:rPr>
          <w:rFonts w:ascii="Times New Roman" w:hAnsi="Times New Roman"/>
          <w:bCs/>
          <w:sz w:val="20"/>
          <w:szCs w:val="20"/>
        </w:rPr>
        <w:t xml:space="preserve"> 2017 r. spadł o 8,3%</w:t>
      </w:r>
      <w:r w:rsidR="00341DC8">
        <w:rPr>
          <w:rFonts w:ascii="Times New Roman" w:hAnsi="Times New Roman"/>
          <w:bCs/>
          <w:sz w:val="20"/>
          <w:szCs w:val="20"/>
        </w:rPr>
        <w:t xml:space="preserve">. </w:t>
      </w:r>
      <w:r w:rsidR="00341DC8" w:rsidRPr="00341DC8">
        <w:rPr>
          <w:rFonts w:ascii="Times New Roman" w:hAnsi="Times New Roman"/>
          <w:bCs/>
          <w:sz w:val="20"/>
          <w:szCs w:val="20"/>
        </w:rPr>
        <w:t>Na osłabienie zyskowności banków z jednej strony wpływ ma ograniczenie możl</w:t>
      </w:r>
      <w:r w:rsidR="009002E8">
        <w:rPr>
          <w:rFonts w:ascii="Times New Roman" w:hAnsi="Times New Roman"/>
          <w:bCs/>
          <w:sz w:val="20"/>
          <w:szCs w:val="20"/>
        </w:rPr>
        <w:t>iwości generowanie przychodów z </w:t>
      </w:r>
      <w:r w:rsidR="00341DC8" w:rsidRPr="00341DC8">
        <w:rPr>
          <w:rFonts w:ascii="Times New Roman" w:hAnsi="Times New Roman"/>
          <w:bCs/>
          <w:sz w:val="20"/>
          <w:szCs w:val="20"/>
        </w:rPr>
        <w:t>podstawowej działalności bankowej w warunkach niskich stóp procentowych, z drugiej zaś dodatkowe obciążenia banków (wyższe składki na BFG oraz podatek bankowy, który zost</w:t>
      </w:r>
      <w:r w:rsidR="00341DC8">
        <w:rPr>
          <w:rFonts w:ascii="Times New Roman" w:hAnsi="Times New Roman"/>
          <w:bCs/>
          <w:sz w:val="20"/>
          <w:szCs w:val="20"/>
        </w:rPr>
        <w:t>ał wprowadzony w lutym 2016 r</w:t>
      </w:r>
      <w:r w:rsidR="00341DC8" w:rsidRPr="00341DC8">
        <w:rPr>
          <w:rFonts w:ascii="Times New Roman" w:hAnsi="Times New Roman"/>
          <w:bCs/>
          <w:sz w:val="20"/>
          <w:szCs w:val="20"/>
        </w:rPr>
        <w:t>.)</w:t>
      </w:r>
      <w:r w:rsidRPr="00341DC8">
        <w:rPr>
          <w:rFonts w:ascii="Times New Roman" w:hAnsi="Times New Roman"/>
          <w:bCs/>
          <w:sz w:val="20"/>
          <w:szCs w:val="20"/>
        </w:rPr>
        <w:t>.</w:t>
      </w:r>
      <w:r w:rsidRPr="00E104AA">
        <w:rPr>
          <w:rFonts w:ascii="Times New Roman" w:hAnsi="Times New Roman"/>
          <w:bCs/>
          <w:sz w:val="20"/>
          <w:szCs w:val="20"/>
        </w:rPr>
        <w:t xml:space="preserve"> 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680"/>
      </w:tblGrid>
      <w:tr w:rsidR="00E104AA" w:rsidRPr="00E104AA" w:rsidTr="00D2767D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:rsidR="00E104AA" w:rsidRPr="00E104AA" w:rsidRDefault="00E104AA" w:rsidP="00E104AA">
            <w:pPr>
              <w:keepNext/>
              <w:spacing w:before="120" w:after="0" w:line="288" w:lineRule="auto"/>
              <w:rPr>
                <w:rFonts w:ascii="Times New Roman" w:hAnsi="Times New Roman"/>
                <w:color w:val="E31837"/>
                <w:sz w:val="20"/>
                <w:szCs w:val="20"/>
                <w:lang w:eastAsia="pl-PL"/>
              </w:rPr>
            </w:pPr>
            <w:r w:rsidRPr="00E104AA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Wyk. 3. Dynamika wpływów z podatku VAT (r/r).</w:t>
            </w:r>
          </w:p>
        </w:tc>
      </w:tr>
      <w:tr w:rsidR="00E104AA" w:rsidRPr="00E104AA" w:rsidTr="00D2767D">
        <w:tblPrEx>
          <w:tblCellMar>
            <w:left w:w="70" w:type="dxa"/>
            <w:right w:w="70" w:type="dxa"/>
          </w:tblCellMar>
        </w:tblPrEx>
        <w:tc>
          <w:tcPr>
            <w:tcW w:w="4680" w:type="dxa"/>
            <w:tcBorders>
              <w:top w:val="single" w:sz="8" w:space="0" w:color="ADAFB2"/>
            </w:tcBorders>
          </w:tcPr>
          <w:p w:rsidR="00E104AA" w:rsidRPr="00E104AA" w:rsidRDefault="00E104AA" w:rsidP="00E104AA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40148298" wp14:editId="6DE2DB48">
                  <wp:extent cx="2830830" cy="2040890"/>
                  <wp:effectExtent l="0" t="0" r="762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4AA" w:rsidRPr="00E104AA" w:rsidTr="00D2767D">
        <w:tc>
          <w:tcPr>
            <w:tcW w:w="4680" w:type="dxa"/>
          </w:tcPr>
          <w:p w:rsidR="00E104AA" w:rsidRPr="00E104AA" w:rsidRDefault="00E104AA" w:rsidP="00E104AA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E104AA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Źródło: MF</w:t>
            </w:r>
          </w:p>
        </w:tc>
      </w:tr>
    </w:tbl>
    <w:p w:rsidR="00E104AA" w:rsidRDefault="00E104AA" w:rsidP="00E104AA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E104AA">
        <w:rPr>
          <w:rFonts w:ascii="Times New Roman" w:hAnsi="Times New Roman"/>
          <w:bCs/>
          <w:sz w:val="20"/>
          <w:szCs w:val="20"/>
        </w:rPr>
        <w:t xml:space="preserve">Dochody z akcyzy </w:t>
      </w:r>
      <w:r w:rsidR="00E2793B" w:rsidRPr="00E104AA">
        <w:rPr>
          <w:rFonts w:ascii="Times New Roman" w:hAnsi="Times New Roman"/>
          <w:bCs/>
          <w:sz w:val="20"/>
          <w:szCs w:val="20"/>
        </w:rPr>
        <w:t xml:space="preserve">sektora </w:t>
      </w:r>
      <w:r w:rsidR="00E2793B">
        <w:rPr>
          <w:rFonts w:ascii="Times New Roman" w:hAnsi="Times New Roman"/>
          <w:bCs/>
          <w:sz w:val="20"/>
          <w:szCs w:val="20"/>
        </w:rPr>
        <w:t>instytucji rządowych i samorządowych</w:t>
      </w:r>
      <w:r w:rsidRPr="00E104AA">
        <w:rPr>
          <w:rFonts w:ascii="Times New Roman" w:hAnsi="Times New Roman"/>
          <w:bCs/>
          <w:sz w:val="20"/>
          <w:szCs w:val="20"/>
        </w:rPr>
        <w:t xml:space="preserve"> wyniosły w</w:t>
      </w:r>
      <w:r w:rsidR="008102F1">
        <w:rPr>
          <w:rFonts w:ascii="Times New Roman" w:hAnsi="Times New Roman"/>
          <w:bCs/>
          <w:sz w:val="20"/>
          <w:szCs w:val="20"/>
        </w:rPr>
        <w:t> </w:t>
      </w:r>
      <w:r w:rsidRPr="00E104AA">
        <w:rPr>
          <w:rFonts w:ascii="Times New Roman" w:hAnsi="Times New Roman"/>
          <w:bCs/>
          <w:sz w:val="20"/>
          <w:szCs w:val="20"/>
        </w:rPr>
        <w:t>I</w:t>
      </w:r>
      <w:r w:rsidR="008102F1">
        <w:rPr>
          <w:rFonts w:ascii="Times New Roman" w:hAnsi="Times New Roman"/>
          <w:bCs/>
          <w:sz w:val="20"/>
          <w:szCs w:val="20"/>
        </w:rPr>
        <w:t> </w:t>
      </w:r>
      <w:r w:rsidR="009002E8">
        <w:rPr>
          <w:rFonts w:ascii="Times New Roman" w:hAnsi="Times New Roman"/>
          <w:bCs/>
          <w:sz w:val="20"/>
          <w:szCs w:val="20"/>
        </w:rPr>
        <w:t>kw. 2017 r. 15,3 mld zł i </w:t>
      </w:r>
      <w:r w:rsidRPr="00E104AA">
        <w:rPr>
          <w:rFonts w:ascii="Times New Roman" w:hAnsi="Times New Roman"/>
          <w:bCs/>
          <w:sz w:val="20"/>
          <w:szCs w:val="20"/>
        </w:rPr>
        <w:t xml:space="preserve">były niższe o 0,5% r/r. </w:t>
      </w:r>
      <w:r w:rsidR="00EF2B45">
        <w:rPr>
          <w:rFonts w:ascii="Times New Roman" w:hAnsi="Times New Roman"/>
          <w:bCs/>
          <w:sz w:val="20"/>
          <w:szCs w:val="20"/>
        </w:rPr>
        <w:t>Natomiast</w:t>
      </w:r>
      <w:r w:rsidRPr="00E104AA">
        <w:rPr>
          <w:rFonts w:ascii="Times New Roman" w:hAnsi="Times New Roman"/>
          <w:bCs/>
          <w:sz w:val="20"/>
          <w:szCs w:val="20"/>
        </w:rPr>
        <w:t xml:space="preserve"> wysokie w tym okresie było tempo zm</w:t>
      </w:r>
      <w:r w:rsidR="009002E8">
        <w:rPr>
          <w:rFonts w:ascii="Times New Roman" w:hAnsi="Times New Roman"/>
          <w:bCs/>
          <w:sz w:val="20"/>
          <w:szCs w:val="20"/>
        </w:rPr>
        <w:t>ian dochodów z akcyzy od wina i </w:t>
      </w:r>
      <w:r w:rsidRPr="00E104AA">
        <w:rPr>
          <w:rFonts w:ascii="Times New Roman" w:hAnsi="Times New Roman"/>
          <w:bCs/>
          <w:sz w:val="20"/>
          <w:szCs w:val="20"/>
        </w:rPr>
        <w:t>samochodów osobowych, które wyniosło odpowiednio 16,4% r/r i 12,5% r/r. Wg danych GUS dostawy na rynek samochodów osobowych w I kw. 2017 r. były wyższe o 56,5% r/r, natomiast dostawy wina były wyższe o 20,7% r</w:t>
      </w:r>
      <w:r w:rsidR="009002E8">
        <w:rPr>
          <w:rFonts w:ascii="Times New Roman" w:hAnsi="Times New Roman"/>
          <w:bCs/>
          <w:sz w:val="20"/>
          <w:szCs w:val="20"/>
        </w:rPr>
        <w:t>/r. Niskie dochody zanotowano z </w:t>
      </w:r>
      <w:r w:rsidRPr="00E104AA">
        <w:rPr>
          <w:rFonts w:ascii="Times New Roman" w:hAnsi="Times New Roman"/>
          <w:bCs/>
          <w:sz w:val="20"/>
          <w:szCs w:val="20"/>
        </w:rPr>
        <w:t xml:space="preserve">akcyzy od piwa (spadek o 16,9% r/r). </w:t>
      </w:r>
      <w:r w:rsidRPr="00341DC8">
        <w:rPr>
          <w:rFonts w:ascii="Times New Roman" w:hAnsi="Times New Roman"/>
          <w:bCs/>
          <w:sz w:val="20"/>
          <w:szCs w:val="20"/>
        </w:rPr>
        <w:t>Dostawy tego wyrobu na rynek wg GUS</w:t>
      </w:r>
      <w:r w:rsidR="002737AB" w:rsidRPr="00341DC8">
        <w:rPr>
          <w:rFonts w:ascii="Times New Roman" w:hAnsi="Times New Roman"/>
          <w:bCs/>
          <w:sz w:val="20"/>
          <w:szCs w:val="20"/>
        </w:rPr>
        <w:t xml:space="preserve"> w I kw. 2017 r.</w:t>
      </w:r>
      <w:r w:rsidRPr="00341DC8">
        <w:rPr>
          <w:rFonts w:ascii="Times New Roman" w:hAnsi="Times New Roman"/>
          <w:bCs/>
          <w:sz w:val="20"/>
          <w:szCs w:val="20"/>
        </w:rPr>
        <w:t xml:space="preserve"> </w:t>
      </w:r>
      <w:r w:rsidR="002737AB" w:rsidRPr="00341DC8">
        <w:rPr>
          <w:rFonts w:ascii="Times New Roman" w:hAnsi="Times New Roman"/>
          <w:bCs/>
          <w:sz w:val="20"/>
          <w:szCs w:val="20"/>
        </w:rPr>
        <w:t>pozostały na poziomie roku poprzedniego (</w:t>
      </w:r>
      <w:r w:rsidRPr="00341DC8">
        <w:rPr>
          <w:rFonts w:ascii="Times New Roman" w:hAnsi="Times New Roman"/>
          <w:bCs/>
          <w:sz w:val="20"/>
          <w:szCs w:val="20"/>
        </w:rPr>
        <w:t>wzros</w:t>
      </w:r>
      <w:r w:rsidR="002737AB" w:rsidRPr="00341DC8">
        <w:rPr>
          <w:rFonts w:ascii="Times New Roman" w:hAnsi="Times New Roman"/>
          <w:bCs/>
          <w:sz w:val="20"/>
          <w:szCs w:val="20"/>
        </w:rPr>
        <w:t>t</w:t>
      </w:r>
      <w:r w:rsidRPr="00341DC8">
        <w:rPr>
          <w:rFonts w:ascii="Times New Roman" w:hAnsi="Times New Roman"/>
          <w:bCs/>
          <w:sz w:val="20"/>
          <w:szCs w:val="20"/>
        </w:rPr>
        <w:t xml:space="preserve"> </w:t>
      </w:r>
      <w:r w:rsidR="00EF2B45" w:rsidRPr="00341DC8">
        <w:rPr>
          <w:rFonts w:ascii="Times New Roman" w:hAnsi="Times New Roman"/>
          <w:bCs/>
          <w:sz w:val="20"/>
          <w:szCs w:val="20"/>
        </w:rPr>
        <w:t xml:space="preserve">zaledwie </w:t>
      </w:r>
      <w:r w:rsidR="009002E8">
        <w:rPr>
          <w:rFonts w:ascii="Times New Roman" w:hAnsi="Times New Roman"/>
          <w:bCs/>
          <w:sz w:val="20"/>
          <w:szCs w:val="20"/>
        </w:rPr>
        <w:t>o </w:t>
      </w:r>
      <w:r w:rsidRPr="00341DC8">
        <w:rPr>
          <w:rFonts w:ascii="Times New Roman" w:hAnsi="Times New Roman"/>
          <w:bCs/>
          <w:sz w:val="20"/>
          <w:szCs w:val="20"/>
        </w:rPr>
        <w:t>0,1% r/r</w:t>
      </w:r>
      <w:r w:rsidR="002737AB" w:rsidRPr="00341DC8">
        <w:rPr>
          <w:rFonts w:ascii="Times New Roman" w:hAnsi="Times New Roman"/>
          <w:bCs/>
          <w:sz w:val="20"/>
          <w:szCs w:val="20"/>
        </w:rPr>
        <w:t>)</w:t>
      </w:r>
      <w:r w:rsidRPr="00341DC8">
        <w:rPr>
          <w:rFonts w:ascii="Times New Roman" w:hAnsi="Times New Roman"/>
          <w:bCs/>
          <w:sz w:val="20"/>
          <w:szCs w:val="20"/>
        </w:rPr>
        <w:t>.</w:t>
      </w:r>
      <w:r w:rsidR="002737AB" w:rsidRPr="00341DC8">
        <w:rPr>
          <w:rFonts w:ascii="Times New Roman" w:hAnsi="Times New Roman"/>
          <w:bCs/>
          <w:sz w:val="20"/>
          <w:szCs w:val="20"/>
        </w:rPr>
        <w:t xml:space="preserve"> Natomiast produkcja piwa w I kw. 2017 r. wg GUS spadła o 1,4% r/r.</w:t>
      </w:r>
    </w:p>
    <w:p w:rsidR="005011A1" w:rsidRDefault="00272E3A" w:rsidP="00E104AA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272E3A">
        <w:rPr>
          <w:rFonts w:ascii="Times New Roman" w:hAnsi="Times New Roman"/>
          <w:bCs/>
          <w:sz w:val="20"/>
          <w:szCs w:val="20"/>
        </w:rPr>
        <w:t>Dochody z tytułu składek na ubezpieczenie</w:t>
      </w:r>
      <w:r>
        <w:rPr>
          <w:rFonts w:ascii="Times New Roman" w:hAnsi="Times New Roman"/>
          <w:bCs/>
          <w:sz w:val="20"/>
          <w:szCs w:val="20"/>
        </w:rPr>
        <w:t xml:space="preserve"> społeczne </w:t>
      </w:r>
      <w:r w:rsidRPr="000D5D25">
        <w:rPr>
          <w:rFonts w:ascii="Times New Roman" w:hAnsi="Times New Roman"/>
          <w:bCs/>
          <w:sz w:val="20"/>
          <w:szCs w:val="20"/>
        </w:rPr>
        <w:t xml:space="preserve">wg zasad ESA2010 w I kw. 2017 r. były wyższe </w:t>
      </w:r>
      <w:r w:rsidRPr="000D5D25">
        <w:rPr>
          <w:rFonts w:ascii="Times New Roman" w:hAnsi="Times New Roman"/>
          <w:bCs/>
          <w:sz w:val="20"/>
          <w:szCs w:val="20"/>
        </w:rPr>
        <w:lastRenderedPageBreak/>
        <w:t>o</w:t>
      </w:r>
      <w:r w:rsidR="005011A1">
        <w:rPr>
          <w:rFonts w:ascii="Times New Roman" w:hAnsi="Times New Roman"/>
          <w:bCs/>
          <w:sz w:val="20"/>
          <w:szCs w:val="20"/>
        </w:rPr>
        <w:t> </w:t>
      </w:r>
      <w:r w:rsidRPr="000D5D25">
        <w:rPr>
          <w:rFonts w:ascii="Times New Roman" w:hAnsi="Times New Roman"/>
          <w:bCs/>
          <w:sz w:val="20"/>
          <w:szCs w:val="20"/>
        </w:rPr>
        <w:t>3,7%</w:t>
      </w:r>
      <w:r w:rsidR="005011A1">
        <w:rPr>
          <w:rFonts w:ascii="Times New Roman" w:hAnsi="Times New Roman"/>
          <w:bCs/>
          <w:sz w:val="20"/>
          <w:szCs w:val="20"/>
        </w:rPr>
        <w:t> </w:t>
      </w:r>
      <w:r w:rsidRPr="000D5D25">
        <w:rPr>
          <w:rFonts w:ascii="Times New Roman" w:hAnsi="Times New Roman"/>
          <w:bCs/>
          <w:sz w:val="20"/>
          <w:szCs w:val="20"/>
        </w:rPr>
        <w:t xml:space="preserve">r/r, tj. </w:t>
      </w:r>
      <w:r w:rsidR="000D5D25" w:rsidRPr="000D5D25">
        <w:rPr>
          <w:rFonts w:ascii="Times New Roman" w:hAnsi="Times New Roman"/>
          <w:bCs/>
          <w:sz w:val="20"/>
          <w:szCs w:val="20"/>
        </w:rPr>
        <w:t>poniżej tempa</w:t>
      </w:r>
      <w:r w:rsidRPr="000D5D25">
        <w:rPr>
          <w:rFonts w:ascii="Times New Roman" w:hAnsi="Times New Roman"/>
          <w:bCs/>
          <w:sz w:val="20"/>
          <w:szCs w:val="20"/>
        </w:rPr>
        <w:t xml:space="preserve"> wzrostu funduszu wynagrodze</w:t>
      </w:r>
      <w:r w:rsidR="000D5D25" w:rsidRPr="000D5D25">
        <w:rPr>
          <w:rFonts w:ascii="Times New Roman" w:hAnsi="Times New Roman"/>
          <w:bCs/>
          <w:sz w:val="20"/>
          <w:szCs w:val="20"/>
        </w:rPr>
        <w:t>ń w</w:t>
      </w:r>
      <w:r w:rsidR="008102F1">
        <w:rPr>
          <w:rFonts w:ascii="Times New Roman" w:hAnsi="Times New Roman"/>
          <w:bCs/>
          <w:sz w:val="20"/>
          <w:szCs w:val="20"/>
        </w:rPr>
        <w:t> </w:t>
      </w:r>
      <w:r w:rsidR="000D5D25" w:rsidRPr="000D5D25">
        <w:rPr>
          <w:rFonts w:ascii="Times New Roman" w:hAnsi="Times New Roman"/>
          <w:bCs/>
          <w:sz w:val="20"/>
          <w:szCs w:val="20"/>
        </w:rPr>
        <w:t xml:space="preserve">gospodarce narodowej </w:t>
      </w:r>
      <w:r w:rsidR="00403B4E" w:rsidRPr="00403B4E">
        <w:rPr>
          <w:rFonts w:ascii="Times New Roman" w:hAnsi="Times New Roman"/>
          <w:bCs/>
          <w:sz w:val="20"/>
          <w:szCs w:val="20"/>
        </w:rPr>
        <w:t xml:space="preserve">(bez tzw. jednostek małych) </w:t>
      </w:r>
      <w:r w:rsidR="008102F1">
        <w:rPr>
          <w:rFonts w:ascii="Times New Roman" w:hAnsi="Times New Roman"/>
          <w:bCs/>
          <w:sz w:val="20"/>
          <w:szCs w:val="20"/>
        </w:rPr>
        <w:t xml:space="preserve">tj. </w:t>
      </w:r>
      <w:r w:rsidR="000D5D25" w:rsidRPr="000D5D25">
        <w:rPr>
          <w:rFonts w:ascii="Times New Roman" w:hAnsi="Times New Roman"/>
          <w:bCs/>
          <w:sz w:val="20"/>
          <w:szCs w:val="20"/>
        </w:rPr>
        <w:t>ok.7,2</w:t>
      </w:r>
      <w:r w:rsidRPr="000D5D25">
        <w:rPr>
          <w:rFonts w:ascii="Times New Roman" w:hAnsi="Times New Roman"/>
          <w:bCs/>
          <w:sz w:val="20"/>
          <w:szCs w:val="20"/>
        </w:rPr>
        <w:t>% r/r.</w:t>
      </w:r>
      <w:r w:rsidR="001D27FA">
        <w:rPr>
          <w:rFonts w:ascii="Times New Roman" w:hAnsi="Times New Roman"/>
          <w:bCs/>
          <w:sz w:val="20"/>
          <w:szCs w:val="20"/>
        </w:rPr>
        <w:t xml:space="preserve"> </w:t>
      </w:r>
      <w:r w:rsidR="005011A1">
        <w:rPr>
          <w:rFonts w:ascii="Times New Roman" w:hAnsi="Times New Roman"/>
          <w:bCs/>
          <w:sz w:val="20"/>
          <w:szCs w:val="20"/>
        </w:rPr>
        <w:t xml:space="preserve">Na niższe składki na ubezpieczenia społeczne wpływ miał m.in.: spadek składek przypisanych </w:t>
      </w:r>
      <w:r w:rsidR="005011A1" w:rsidRPr="00CB5395">
        <w:rPr>
          <w:rFonts w:ascii="Times New Roman" w:hAnsi="Times New Roman"/>
          <w:bCs/>
          <w:sz w:val="20"/>
          <w:szCs w:val="20"/>
        </w:rPr>
        <w:t>umownie</w:t>
      </w:r>
      <w:r w:rsidR="00E2793B" w:rsidRPr="00CB5395">
        <w:rPr>
          <w:rStyle w:val="Odwoanieprzypisudolnego"/>
          <w:rFonts w:ascii="Times New Roman" w:hAnsi="Times New Roman"/>
          <w:bCs/>
          <w:sz w:val="20"/>
          <w:szCs w:val="20"/>
        </w:rPr>
        <w:footnoteReference w:id="2"/>
      </w:r>
      <w:r w:rsidR="005011A1" w:rsidRPr="00CB5395">
        <w:rPr>
          <w:rFonts w:ascii="Times New Roman" w:hAnsi="Times New Roman"/>
          <w:bCs/>
          <w:sz w:val="20"/>
          <w:szCs w:val="20"/>
        </w:rPr>
        <w:t xml:space="preserve"> (ujmowanych</w:t>
      </w:r>
      <w:r w:rsidR="005011A1">
        <w:rPr>
          <w:rFonts w:ascii="Times New Roman" w:hAnsi="Times New Roman"/>
          <w:bCs/>
          <w:sz w:val="20"/>
          <w:szCs w:val="20"/>
        </w:rPr>
        <w:t xml:space="preserve"> w kategorii składki na ubezpieczenia społeczne wg metodyki ESA2010) o ok. 7,9% r/r oraz zmiana metody liczenia odsetek od składek FUS. Warto zaznaczyć, że w I kw. </w:t>
      </w:r>
      <w:r w:rsidR="00950C42">
        <w:rPr>
          <w:rFonts w:ascii="Times New Roman" w:hAnsi="Times New Roman"/>
          <w:bCs/>
          <w:sz w:val="20"/>
          <w:szCs w:val="20"/>
        </w:rPr>
        <w:t xml:space="preserve">przychody ze składek (przypis) w FUS wzrosły o 7,5% r/r. tj. na poziomie zbliżonym do wzrostu funduszu wynagrodzeń. </w:t>
      </w:r>
    </w:p>
    <w:p w:rsidR="00DE3F36" w:rsidRPr="00E104AA" w:rsidRDefault="00E90DBE" w:rsidP="00E104AA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  <w:highlight w:val="yellow"/>
        </w:rPr>
      </w:pPr>
      <w:r>
        <w:rPr>
          <w:rFonts w:ascii="Times New Roman" w:hAnsi="Times New Roman"/>
          <w:bCs/>
          <w:sz w:val="20"/>
          <w:szCs w:val="20"/>
        </w:rPr>
        <w:t xml:space="preserve">Pozostałe dochody sektora instytucji rządowych i samorządowych </w:t>
      </w:r>
      <w:r w:rsidR="00DE3F36">
        <w:rPr>
          <w:rFonts w:ascii="Times New Roman" w:hAnsi="Times New Roman"/>
          <w:bCs/>
          <w:sz w:val="20"/>
          <w:szCs w:val="20"/>
        </w:rPr>
        <w:t xml:space="preserve">w I kw. 2017 r. </w:t>
      </w:r>
      <w:r>
        <w:rPr>
          <w:rFonts w:ascii="Times New Roman" w:hAnsi="Times New Roman"/>
          <w:bCs/>
          <w:sz w:val="20"/>
          <w:szCs w:val="20"/>
        </w:rPr>
        <w:t>wzrosły o 3,1% r/r.</w:t>
      </w:r>
    </w:p>
    <w:p w:rsidR="00EF223A" w:rsidRPr="00F35D4D" w:rsidRDefault="00903C82" w:rsidP="006B7502">
      <w:pPr>
        <w:pStyle w:val="Nagwek2"/>
        <w:spacing w:before="120" w:line="288" w:lineRule="auto"/>
        <w:rPr>
          <w:rFonts w:ascii="Arial" w:hAnsi="Arial" w:cs="Arial"/>
          <w:i w:val="0"/>
          <w:color w:val="E31837"/>
          <w:sz w:val="20"/>
          <w:szCs w:val="20"/>
        </w:rPr>
      </w:pPr>
      <w:bookmarkStart w:id="4" w:name="_Toc488656164"/>
      <w:r w:rsidRPr="00F35D4D">
        <w:rPr>
          <w:rFonts w:ascii="Arial" w:hAnsi="Arial" w:cs="Arial"/>
          <w:i w:val="0"/>
          <w:color w:val="E31837"/>
          <w:sz w:val="20"/>
          <w:szCs w:val="20"/>
        </w:rPr>
        <w:t>1.</w:t>
      </w:r>
      <w:r w:rsidR="00D55ED6" w:rsidRPr="00F35D4D">
        <w:rPr>
          <w:rFonts w:ascii="Arial" w:hAnsi="Arial" w:cs="Arial"/>
          <w:i w:val="0"/>
          <w:color w:val="E31837"/>
          <w:sz w:val="20"/>
          <w:szCs w:val="20"/>
        </w:rPr>
        <w:t>3</w:t>
      </w:r>
      <w:r w:rsidRPr="00F35D4D">
        <w:rPr>
          <w:rFonts w:ascii="Arial" w:hAnsi="Arial" w:cs="Arial"/>
          <w:i w:val="0"/>
          <w:color w:val="E31837"/>
          <w:sz w:val="20"/>
          <w:szCs w:val="20"/>
        </w:rPr>
        <w:t>. Wydatki</w:t>
      </w:r>
      <w:bookmarkEnd w:id="4"/>
    </w:p>
    <w:p w:rsidR="00EF223A" w:rsidRPr="00F35D4D" w:rsidRDefault="004450A1" w:rsidP="006B7502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F35D4D">
        <w:rPr>
          <w:rFonts w:ascii="Times New Roman" w:hAnsi="Times New Roman"/>
          <w:bCs/>
          <w:sz w:val="20"/>
          <w:szCs w:val="20"/>
        </w:rPr>
        <w:t>W I</w:t>
      </w:r>
      <w:r w:rsidR="00F15FF6" w:rsidRPr="00F35D4D">
        <w:rPr>
          <w:rFonts w:ascii="Times New Roman" w:hAnsi="Times New Roman"/>
          <w:bCs/>
          <w:sz w:val="20"/>
          <w:szCs w:val="20"/>
        </w:rPr>
        <w:t xml:space="preserve"> kw</w:t>
      </w:r>
      <w:r w:rsidR="003B2E14" w:rsidRPr="00F35D4D">
        <w:rPr>
          <w:rFonts w:ascii="Times New Roman" w:hAnsi="Times New Roman"/>
          <w:bCs/>
          <w:sz w:val="20"/>
          <w:szCs w:val="20"/>
        </w:rPr>
        <w:t>.</w:t>
      </w:r>
      <w:r w:rsidRPr="00F35D4D">
        <w:rPr>
          <w:rFonts w:ascii="Times New Roman" w:hAnsi="Times New Roman"/>
          <w:bCs/>
          <w:sz w:val="20"/>
          <w:szCs w:val="20"/>
        </w:rPr>
        <w:t xml:space="preserve"> 2017</w:t>
      </w:r>
      <w:r w:rsidR="00F15FF6" w:rsidRPr="00F35D4D">
        <w:rPr>
          <w:rFonts w:ascii="Times New Roman" w:hAnsi="Times New Roman"/>
          <w:bCs/>
          <w:sz w:val="20"/>
          <w:szCs w:val="20"/>
        </w:rPr>
        <w:t xml:space="preserve"> r. wydatki sektora instytucji rządowych i</w:t>
      </w:r>
      <w:r w:rsidR="00F142BF" w:rsidRPr="00F35D4D">
        <w:rPr>
          <w:rFonts w:ascii="Times New Roman" w:hAnsi="Times New Roman"/>
          <w:bCs/>
          <w:sz w:val="20"/>
          <w:szCs w:val="20"/>
        </w:rPr>
        <w:t> </w:t>
      </w:r>
      <w:r w:rsidR="00F15FF6" w:rsidRPr="00F35D4D">
        <w:rPr>
          <w:rFonts w:ascii="Times New Roman" w:hAnsi="Times New Roman"/>
          <w:bCs/>
          <w:sz w:val="20"/>
          <w:szCs w:val="20"/>
        </w:rPr>
        <w:t xml:space="preserve">samorządowych </w:t>
      </w:r>
      <w:r w:rsidRPr="00F35D4D">
        <w:rPr>
          <w:rFonts w:ascii="Times New Roman" w:hAnsi="Times New Roman"/>
          <w:bCs/>
          <w:sz w:val="20"/>
          <w:szCs w:val="20"/>
        </w:rPr>
        <w:t>wyniosły 178,9</w:t>
      </w:r>
      <w:r w:rsidR="003B2E14" w:rsidRPr="00F35D4D">
        <w:rPr>
          <w:rFonts w:ascii="Times New Roman" w:hAnsi="Times New Roman"/>
          <w:bCs/>
          <w:sz w:val="20"/>
          <w:szCs w:val="20"/>
        </w:rPr>
        <w:t> </w:t>
      </w:r>
      <w:r w:rsidR="0020557E" w:rsidRPr="00F35D4D">
        <w:rPr>
          <w:rFonts w:ascii="Times New Roman" w:hAnsi="Times New Roman"/>
          <w:bCs/>
          <w:sz w:val="20"/>
          <w:szCs w:val="20"/>
        </w:rPr>
        <w:t xml:space="preserve">mld zł </w:t>
      </w:r>
      <w:r w:rsidR="00F7689E">
        <w:rPr>
          <w:rFonts w:ascii="Times New Roman" w:hAnsi="Times New Roman"/>
          <w:bCs/>
          <w:sz w:val="20"/>
          <w:szCs w:val="20"/>
        </w:rPr>
        <w:t>(tj. 39,4 % PKB</w:t>
      </w:r>
      <w:r w:rsidR="00E3342F">
        <w:rPr>
          <w:rFonts w:ascii="Times New Roman" w:hAnsi="Times New Roman"/>
          <w:bCs/>
          <w:sz w:val="20"/>
          <w:szCs w:val="20"/>
        </w:rPr>
        <w:t xml:space="preserve"> i jest to najniższa relacja </w:t>
      </w:r>
      <w:r w:rsidR="00E3342F">
        <w:rPr>
          <w:rFonts w:ascii="Times New Roman" w:hAnsi="Times New Roman" w:cs="Arial"/>
          <w:sz w:val="20"/>
          <w:szCs w:val="20"/>
        </w:rPr>
        <w:t>od momentu rozpoczęcia publikowania przez GUS danych kwartalnych wg metodyki unijnej ESA2010 tj.</w:t>
      </w:r>
      <w:r w:rsidR="00E3342F">
        <w:rPr>
          <w:rFonts w:ascii="Times New Roman" w:hAnsi="Times New Roman"/>
          <w:bCs/>
          <w:sz w:val="20"/>
          <w:szCs w:val="20"/>
        </w:rPr>
        <w:t xml:space="preserve"> 1999 r.</w:t>
      </w:r>
      <w:r w:rsidR="00F7689E">
        <w:rPr>
          <w:rFonts w:ascii="Times New Roman" w:hAnsi="Times New Roman"/>
          <w:bCs/>
          <w:sz w:val="20"/>
          <w:szCs w:val="20"/>
        </w:rPr>
        <w:t>)</w:t>
      </w:r>
      <w:r w:rsidR="009002E8">
        <w:rPr>
          <w:rFonts w:ascii="Times New Roman" w:hAnsi="Times New Roman"/>
          <w:bCs/>
          <w:sz w:val="20"/>
          <w:szCs w:val="20"/>
        </w:rPr>
        <w:t xml:space="preserve"> i </w:t>
      </w:r>
      <w:r w:rsidR="0020557E" w:rsidRPr="00F35D4D">
        <w:rPr>
          <w:rFonts w:ascii="Times New Roman" w:hAnsi="Times New Roman"/>
          <w:bCs/>
          <w:sz w:val="20"/>
          <w:szCs w:val="20"/>
        </w:rPr>
        <w:t xml:space="preserve">były </w:t>
      </w:r>
      <w:r w:rsidRPr="00F35D4D">
        <w:rPr>
          <w:rFonts w:ascii="Times New Roman" w:hAnsi="Times New Roman"/>
          <w:bCs/>
          <w:sz w:val="20"/>
          <w:szCs w:val="20"/>
        </w:rPr>
        <w:t>wyższe o 4,8</w:t>
      </w:r>
      <w:r w:rsidR="00F15FF6" w:rsidRPr="00F35D4D">
        <w:rPr>
          <w:rFonts w:ascii="Times New Roman" w:hAnsi="Times New Roman"/>
          <w:bCs/>
          <w:sz w:val="20"/>
          <w:szCs w:val="20"/>
        </w:rPr>
        <w:t>%</w:t>
      </w:r>
      <w:r w:rsidR="003B2E14" w:rsidRPr="00F35D4D">
        <w:rPr>
          <w:rFonts w:ascii="Times New Roman" w:hAnsi="Times New Roman"/>
          <w:bCs/>
          <w:sz w:val="20"/>
          <w:szCs w:val="20"/>
        </w:rPr>
        <w:t xml:space="preserve"> r/r</w:t>
      </w:r>
      <w:r w:rsidR="00F15FF6" w:rsidRPr="00F35D4D">
        <w:rPr>
          <w:rFonts w:ascii="Times New Roman" w:hAnsi="Times New Roman"/>
          <w:bCs/>
          <w:sz w:val="20"/>
          <w:szCs w:val="20"/>
        </w:rPr>
        <w:t>. Największy udział w</w:t>
      </w:r>
      <w:r w:rsidR="00E3342F">
        <w:rPr>
          <w:rFonts w:ascii="Times New Roman" w:hAnsi="Times New Roman"/>
          <w:bCs/>
          <w:sz w:val="20"/>
          <w:szCs w:val="20"/>
        </w:rPr>
        <w:t> </w:t>
      </w:r>
      <w:r w:rsidR="00F15FF6" w:rsidRPr="00F35D4D">
        <w:rPr>
          <w:rFonts w:ascii="Times New Roman" w:hAnsi="Times New Roman"/>
          <w:bCs/>
          <w:sz w:val="20"/>
          <w:szCs w:val="20"/>
        </w:rPr>
        <w:t xml:space="preserve">wydatkach sektora mają świadczenia społeczne, wydatki na wynagrodzenia (łącznie ze składkami) oraz wydatki na </w:t>
      </w:r>
      <w:r w:rsidR="000106DF" w:rsidRPr="00F35D4D">
        <w:rPr>
          <w:rFonts w:ascii="Times New Roman" w:hAnsi="Times New Roman"/>
          <w:bCs/>
          <w:sz w:val="20"/>
          <w:szCs w:val="20"/>
        </w:rPr>
        <w:t>zakup towarów i usług (zużycie pośrednie)</w:t>
      </w:r>
      <w:r w:rsidR="00F15FF6" w:rsidRPr="00F35D4D">
        <w:rPr>
          <w:rFonts w:ascii="Times New Roman" w:hAnsi="Times New Roman"/>
          <w:bCs/>
          <w:sz w:val="20"/>
          <w:szCs w:val="20"/>
        </w:rPr>
        <w:t>.</w:t>
      </w:r>
    </w:p>
    <w:p w:rsidR="00266236" w:rsidRPr="00604D2C" w:rsidRDefault="00F35D4D" w:rsidP="009E157D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F35D4D">
        <w:rPr>
          <w:rFonts w:ascii="Times New Roman" w:hAnsi="Times New Roman"/>
          <w:bCs/>
          <w:sz w:val="20"/>
          <w:szCs w:val="20"/>
        </w:rPr>
        <w:t>W I kw. 2017</w:t>
      </w:r>
      <w:r w:rsidR="009E157D" w:rsidRPr="00F35D4D">
        <w:rPr>
          <w:rFonts w:ascii="Times New Roman" w:hAnsi="Times New Roman"/>
          <w:bCs/>
          <w:sz w:val="20"/>
          <w:szCs w:val="20"/>
        </w:rPr>
        <w:t xml:space="preserve"> r. świadczenia socjalne wzrosły nominalnie o </w:t>
      </w:r>
      <w:r w:rsidRPr="00F35D4D">
        <w:rPr>
          <w:rFonts w:ascii="Times New Roman" w:hAnsi="Times New Roman"/>
          <w:bCs/>
          <w:sz w:val="20"/>
          <w:szCs w:val="20"/>
        </w:rPr>
        <w:t>8,2</w:t>
      </w:r>
      <w:r w:rsidR="009E157D" w:rsidRPr="00F35D4D">
        <w:rPr>
          <w:rFonts w:ascii="Times New Roman" w:hAnsi="Times New Roman"/>
          <w:bCs/>
          <w:sz w:val="20"/>
          <w:szCs w:val="20"/>
        </w:rPr>
        <w:t>% r/r,</w:t>
      </w:r>
      <w:r w:rsidR="009E157D" w:rsidRPr="00F35D4D">
        <w:t xml:space="preserve"> </w:t>
      </w:r>
      <w:r w:rsidR="009E157D" w:rsidRPr="00F35D4D">
        <w:rPr>
          <w:rFonts w:ascii="Times New Roman" w:hAnsi="Times New Roman"/>
          <w:bCs/>
          <w:sz w:val="20"/>
          <w:szCs w:val="20"/>
        </w:rPr>
        <w:t>tj. znacznie powyżej tempa wzrostu przeciętnego kwartalnego funduszu</w:t>
      </w:r>
      <w:r w:rsidR="00000BC6" w:rsidRPr="00F35D4D">
        <w:rPr>
          <w:rFonts w:ascii="Times New Roman" w:hAnsi="Times New Roman"/>
          <w:bCs/>
          <w:sz w:val="20"/>
          <w:szCs w:val="20"/>
        </w:rPr>
        <w:t xml:space="preserve"> emerytur i </w:t>
      </w:r>
      <w:r w:rsidR="009E157D" w:rsidRPr="00F35D4D">
        <w:rPr>
          <w:rFonts w:ascii="Times New Roman" w:hAnsi="Times New Roman"/>
          <w:bCs/>
          <w:sz w:val="20"/>
          <w:szCs w:val="20"/>
        </w:rPr>
        <w:t xml:space="preserve">rent (ok. </w:t>
      </w:r>
      <w:r w:rsidRPr="00F35D4D">
        <w:rPr>
          <w:rFonts w:ascii="Times New Roman" w:hAnsi="Times New Roman"/>
          <w:bCs/>
          <w:sz w:val="20"/>
          <w:szCs w:val="20"/>
        </w:rPr>
        <w:t>1,8</w:t>
      </w:r>
      <w:r w:rsidR="009E157D" w:rsidRPr="00F35D4D">
        <w:rPr>
          <w:rFonts w:ascii="Times New Roman" w:hAnsi="Times New Roman"/>
          <w:bCs/>
          <w:sz w:val="20"/>
          <w:szCs w:val="20"/>
        </w:rPr>
        <w:t xml:space="preserve">% r/r), który ma największy udział w tej kategorii. </w:t>
      </w:r>
      <w:r w:rsidR="00266236" w:rsidRPr="00CB4B2A">
        <w:rPr>
          <w:rFonts w:ascii="Times New Roman" w:hAnsi="Times New Roman"/>
          <w:bCs/>
          <w:sz w:val="20"/>
          <w:szCs w:val="20"/>
        </w:rPr>
        <w:t>Za wzrost wydatków w omawianej kategorii odpowiadało wprowadzenie w kwietniu 2016 r. nowego świadczenia wychowawczego w ramach Programu „Rodzina 500</w:t>
      </w:r>
      <w:r w:rsidR="00B83D13" w:rsidRPr="00CB4B2A">
        <w:rPr>
          <w:rFonts w:ascii="Times New Roman" w:hAnsi="Times New Roman"/>
          <w:bCs/>
          <w:sz w:val="20"/>
          <w:szCs w:val="20"/>
        </w:rPr>
        <w:t xml:space="preserve"> </w:t>
      </w:r>
      <w:r w:rsidR="00B83D13" w:rsidRPr="00604D2C">
        <w:rPr>
          <w:rFonts w:ascii="Times New Roman" w:hAnsi="Times New Roman"/>
          <w:bCs/>
          <w:sz w:val="20"/>
          <w:szCs w:val="20"/>
        </w:rPr>
        <w:t>plus</w:t>
      </w:r>
      <w:r w:rsidR="00266236" w:rsidRPr="00604D2C">
        <w:rPr>
          <w:rFonts w:ascii="Times New Roman" w:hAnsi="Times New Roman"/>
          <w:bCs/>
          <w:sz w:val="20"/>
          <w:szCs w:val="20"/>
        </w:rPr>
        <w:t>”.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680"/>
      </w:tblGrid>
      <w:tr w:rsidR="00CE4AD9" w:rsidRPr="00604D2C" w:rsidTr="00415A43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:rsidR="00CE4AD9" w:rsidRPr="00604D2C" w:rsidRDefault="00CE4AD9" w:rsidP="00095F03">
            <w:pPr>
              <w:keepNext/>
              <w:spacing w:before="120" w:after="0" w:line="288" w:lineRule="auto"/>
              <w:rPr>
                <w:rFonts w:ascii="Times New Roman" w:hAnsi="Times New Roman"/>
                <w:color w:val="E31837"/>
                <w:sz w:val="20"/>
                <w:szCs w:val="20"/>
                <w:lang w:eastAsia="pl-PL"/>
              </w:rPr>
            </w:pPr>
            <w:r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lastRenderedPageBreak/>
              <w:t xml:space="preserve">Wyk. </w:t>
            </w:r>
            <w:r w:rsidR="009E157D"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4</w:t>
            </w:r>
            <w:r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. Struktura wydatków sektora instytucji rządowych i samorządowych w I kw. 201</w:t>
            </w:r>
            <w:r w:rsidR="00095F03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7</w:t>
            </w:r>
            <w:r w:rsidRPr="00604D2C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 xml:space="preserve"> r.</w:t>
            </w:r>
          </w:p>
        </w:tc>
      </w:tr>
      <w:tr w:rsidR="00CE4AD9" w:rsidRPr="00604D2C" w:rsidTr="00D55ED6">
        <w:tblPrEx>
          <w:tblCellMar>
            <w:left w:w="70" w:type="dxa"/>
            <w:right w:w="70" w:type="dxa"/>
          </w:tblCellMar>
        </w:tblPrEx>
        <w:tc>
          <w:tcPr>
            <w:tcW w:w="4680" w:type="dxa"/>
            <w:tcBorders>
              <w:top w:val="single" w:sz="8" w:space="0" w:color="ADAFB2"/>
            </w:tcBorders>
          </w:tcPr>
          <w:p w:rsidR="00CE4AD9" w:rsidRPr="00604D2C" w:rsidRDefault="00604D2C" w:rsidP="00CE4AD9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 w:rsidRPr="00604D2C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624494F2" wp14:editId="7C1302CB">
                  <wp:extent cx="2904134" cy="176041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27" cy="1760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D9" w:rsidRPr="00B13134" w:rsidTr="00415A43">
        <w:tc>
          <w:tcPr>
            <w:tcW w:w="4680" w:type="dxa"/>
          </w:tcPr>
          <w:p w:rsidR="00CE4AD9" w:rsidRPr="00604D2C" w:rsidRDefault="00CE4AD9" w:rsidP="00CE4AD9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604D2C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 xml:space="preserve">Źródło: Dane Eurostat, GUS, obliczenia własne </w:t>
            </w:r>
          </w:p>
        </w:tc>
      </w:tr>
    </w:tbl>
    <w:p w:rsidR="00712512" w:rsidRDefault="0094645D" w:rsidP="00D55ED6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EF3BF0">
        <w:rPr>
          <w:rFonts w:ascii="Times New Roman" w:hAnsi="Times New Roman"/>
          <w:bCs/>
          <w:sz w:val="20"/>
          <w:szCs w:val="20"/>
        </w:rPr>
        <w:t>Wzrost wy</w:t>
      </w:r>
      <w:r w:rsidR="00CB4B2A" w:rsidRPr="00EF3BF0">
        <w:rPr>
          <w:rFonts w:ascii="Times New Roman" w:hAnsi="Times New Roman"/>
          <w:bCs/>
          <w:sz w:val="20"/>
          <w:szCs w:val="20"/>
        </w:rPr>
        <w:t>datków na zużycie pośrednie (4,8% r/r) oraz koszty pracy (3,9</w:t>
      </w:r>
      <w:r w:rsidRPr="00EF3BF0">
        <w:rPr>
          <w:rFonts w:ascii="Times New Roman" w:hAnsi="Times New Roman"/>
          <w:bCs/>
          <w:sz w:val="20"/>
          <w:szCs w:val="20"/>
        </w:rPr>
        <w:t>% r/r) przekroczył poziom i</w:t>
      </w:r>
      <w:r w:rsidR="00CB4B2A" w:rsidRPr="00EF3BF0">
        <w:rPr>
          <w:rFonts w:ascii="Times New Roman" w:hAnsi="Times New Roman"/>
          <w:bCs/>
          <w:sz w:val="20"/>
          <w:szCs w:val="20"/>
        </w:rPr>
        <w:t>nflacji w omawianym okresie (2,0</w:t>
      </w:r>
      <w:r w:rsidRPr="00EF3BF0">
        <w:rPr>
          <w:rFonts w:ascii="Times New Roman" w:hAnsi="Times New Roman"/>
          <w:bCs/>
          <w:sz w:val="20"/>
          <w:szCs w:val="20"/>
        </w:rPr>
        <w:t xml:space="preserve">% r/r). </w:t>
      </w:r>
    </w:p>
    <w:p w:rsidR="00712512" w:rsidRDefault="00712512" w:rsidP="00D55ED6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W I</w:t>
      </w:r>
      <w:r w:rsidRPr="00712512">
        <w:rPr>
          <w:rFonts w:ascii="Times New Roman" w:hAnsi="Times New Roman"/>
          <w:bCs/>
          <w:sz w:val="20"/>
          <w:szCs w:val="20"/>
        </w:rPr>
        <w:t xml:space="preserve"> kw. br., nastąpił spadek wydatków inwestycyjnych sektora instytucji </w:t>
      </w:r>
      <w:r w:rsidR="00EF2B45">
        <w:rPr>
          <w:rFonts w:ascii="Times New Roman" w:hAnsi="Times New Roman"/>
          <w:bCs/>
          <w:sz w:val="20"/>
          <w:szCs w:val="20"/>
        </w:rPr>
        <w:t>rządowych i samorządowych o </w:t>
      </w:r>
      <w:r>
        <w:rPr>
          <w:rFonts w:ascii="Times New Roman" w:hAnsi="Times New Roman"/>
          <w:bCs/>
          <w:sz w:val="20"/>
          <w:szCs w:val="20"/>
        </w:rPr>
        <w:t>6,5</w:t>
      </w:r>
      <w:r w:rsidRPr="00712512">
        <w:rPr>
          <w:rFonts w:ascii="Times New Roman" w:hAnsi="Times New Roman"/>
          <w:bCs/>
          <w:sz w:val="20"/>
          <w:szCs w:val="20"/>
        </w:rPr>
        <w:t>%</w:t>
      </w:r>
      <w:r w:rsidR="00EF2B45">
        <w:rPr>
          <w:rFonts w:ascii="Times New Roman" w:hAnsi="Times New Roman"/>
          <w:bCs/>
          <w:sz w:val="20"/>
          <w:szCs w:val="20"/>
        </w:rPr>
        <w:t> </w:t>
      </w:r>
      <w:r w:rsidRPr="00712512">
        <w:rPr>
          <w:rFonts w:ascii="Times New Roman" w:hAnsi="Times New Roman"/>
          <w:bCs/>
          <w:sz w:val="20"/>
          <w:szCs w:val="20"/>
        </w:rPr>
        <w:t xml:space="preserve">r/r, głównie w wyniku spadku nakładów inwestycyjnych w </w:t>
      </w:r>
      <w:r w:rsidR="00E2372D">
        <w:rPr>
          <w:rFonts w:ascii="Times New Roman" w:hAnsi="Times New Roman"/>
          <w:bCs/>
          <w:sz w:val="20"/>
          <w:szCs w:val="20"/>
        </w:rPr>
        <w:t>pod</w:t>
      </w:r>
      <w:r w:rsidR="00901985">
        <w:rPr>
          <w:rFonts w:ascii="Times New Roman" w:hAnsi="Times New Roman"/>
          <w:bCs/>
          <w:sz w:val="20"/>
          <w:szCs w:val="20"/>
        </w:rPr>
        <w:t xml:space="preserve">sektorze </w:t>
      </w:r>
      <w:r w:rsidR="00901985" w:rsidRPr="00E3342F">
        <w:rPr>
          <w:rFonts w:ascii="Times New Roman" w:hAnsi="Times New Roman"/>
          <w:bCs/>
          <w:sz w:val="20"/>
          <w:szCs w:val="20"/>
        </w:rPr>
        <w:t>centralnym</w:t>
      </w:r>
      <w:r w:rsidR="00341A18" w:rsidRPr="00E3342F">
        <w:rPr>
          <w:rFonts w:ascii="Times New Roman" w:hAnsi="Times New Roman"/>
          <w:bCs/>
          <w:sz w:val="20"/>
          <w:szCs w:val="20"/>
        </w:rPr>
        <w:t xml:space="preserve"> (w budżecie państwa odnotowano</w:t>
      </w:r>
      <w:r w:rsidR="00E3342F" w:rsidRPr="00E3342F">
        <w:rPr>
          <w:rFonts w:ascii="Times New Roman" w:hAnsi="Times New Roman"/>
          <w:bCs/>
          <w:sz w:val="20"/>
          <w:szCs w:val="20"/>
        </w:rPr>
        <w:t xml:space="preserve"> spadek wydatków inwestycyjnych o ok. 23,6% r/r)</w:t>
      </w:r>
      <w:r w:rsidR="00901985" w:rsidRPr="00E3342F">
        <w:rPr>
          <w:rFonts w:ascii="Times New Roman" w:hAnsi="Times New Roman"/>
          <w:bCs/>
          <w:sz w:val="20"/>
          <w:szCs w:val="20"/>
        </w:rPr>
        <w:t xml:space="preserve">. </w:t>
      </w:r>
      <w:r w:rsidR="00E3342F">
        <w:rPr>
          <w:rFonts w:ascii="Times New Roman" w:hAnsi="Times New Roman"/>
          <w:bCs/>
          <w:sz w:val="20"/>
          <w:szCs w:val="20"/>
        </w:rPr>
        <w:t xml:space="preserve">Natomiast wzrost wydatków inwestycyjnych odnotowano w jednostkach samorządu terytorialnego, które w ujęciu kasowym </w:t>
      </w:r>
      <w:r w:rsidR="00901985">
        <w:rPr>
          <w:rFonts w:ascii="Times New Roman" w:hAnsi="Times New Roman"/>
          <w:bCs/>
          <w:sz w:val="20"/>
          <w:szCs w:val="20"/>
        </w:rPr>
        <w:t>wzrosły o</w:t>
      </w:r>
      <w:r w:rsidR="00E3342F">
        <w:rPr>
          <w:rFonts w:ascii="Times New Roman" w:hAnsi="Times New Roman"/>
          <w:bCs/>
          <w:sz w:val="20"/>
          <w:szCs w:val="20"/>
        </w:rPr>
        <w:t> </w:t>
      </w:r>
      <w:r w:rsidR="00901985">
        <w:rPr>
          <w:rFonts w:ascii="Times New Roman" w:hAnsi="Times New Roman"/>
          <w:bCs/>
          <w:sz w:val="20"/>
          <w:szCs w:val="20"/>
        </w:rPr>
        <w:t>11,2</w:t>
      </w:r>
      <w:r w:rsidR="00901985" w:rsidRPr="00901985">
        <w:rPr>
          <w:rFonts w:ascii="Times New Roman" w:hAnsi="Times New Roman"/>
          <w:bCs/>
          <w:sz w:val="20"/>
          <w:szCs w:val="20"/>
        </w:rPr>
        <w:t xml:space="preserve">% r/r. </w:t>
      </w:r>
    </w:p>
    <w:p w:rsidR="00000BC6" w:rsidRPr="00D55ED6" w:rsidRDefault="00000BC6" w:rsidP="00D55ED6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  <w:highlight w:val="yellow"/>
        </w:rPr>
      </w:pPr>
    </w:p>
    <w:p w:rsidR="00D55FD4" w:rsidRPr="005C5661" w:rsidRDefault="000E4111" w:rsidP="005C5661">
      <w:pPr>
        <w:pStyle w:val="Nagwek1"/>
        <w:spacing w:before="120" w:line="288" w:lineRule="auto"/>
      </w:pPr>
      <w:r w:rsidRPr="005C5661">
        <w:rPr>
          <w:rFonts w:ascii="Times New Roman" w:eastAsia="Calibri" w:hAnsi="Times New Roman"/>
          <w:sz w:val="20"/>
          <w:szCs w:val="20"/>
        </w:rPr>
        <w:br w:type="page"/>
      </w:r>
      <w:bookmarkStart w:id="5" w:name="_Toc378241155"/>
      <w:bookmarkStart w:id="6" w:name="_Toc472594681"/>
      <w:bookmarkStart w:id="7" w:name="_Toc488656165"/>
      <w:r w:rsidR="008C3CA5" w:rsidRPr="008C3CA5">
        <w:rPr>
          <w:rFonts w:ascii="Arial" w:hAnsi="Arial" w:cs="Arial"/>
          <w:color w:val="ADAFB2"/>
          <w:sz w:val="28"/>
          <w:szCs w:val="28"/>
        </w:rPr>
        <w:lastRenderedPageBreak/>
        <w:t>2</w:t>
      </w:r>
      <w:r w:rsidR="00D55FD4" w:rsidRPr="005C5661">
        <w:rPr>
          <w:rFonts w:ascii="Arial" w:hAnsi="Arial" w:cs="Arial"/>
          <w:color w:val="ADAFB2"/>
          <w:sz w:val="28"/>
          <w:szCs w:val="28"/>
        </w:rPr>
        <w:t xml:space="preserve">. </w:t>
      </w:r>
      <w:bookmarkEnd w:id="5"/>
      <w:r w:rsidR="00D55FD4" w:rsidRPr="005C5661">
        <w:rPr>
          <w:rFonts w:ascii="Arial" w:hAnsi="Arial" w:cs="Arial"/>
          <w:color w:val="ADAFB2"/>
          <w:sz w:val="28"/>
          <w:szCs w:val="28"/>
        </w:rPr>
        <w:t>Dług publiczny oraz potrzeby pożyczkowe</w:t>
      </w:r>
      <w:bookmarkEnd w:id="6"/>
      <w:bookmarkEnd w:id="7"/>
    </w:p>
    <w:p w:rsidR="008C3CA5" w:rsidRPr="008C3CA5" w:rsidRDefault="008C3CA5" w:rsidP="008C3CA5">
      <w:pPr>
        <w:keepNext/>
        <w:spacing w:before="120" w:after="60" w:line="288" w:lineRule="auto"/>
        <w:outlineLvl w:val="1"/>
        <w:rPr>
          <w:rFonts w:ascii="Arial" w:hAnsi="Arial" w:cs="Arial"/>
          <w:b/>
          <w:bCs/>
          <w:iCs/>
          <w:color w:val="E31837"/>
          <w:sz w:val="20"/>
          <w:szCs w:val="20"/>
        </w:rPr>
      </w:pPr>
      <w:bookmarkStart w:id="8" w:name="_Toc488656166"/>
      <w:r w:rsidRPr="008C3CA5">
        <w:rPr>
          <w:rFonts w:ascii="Arial" w:hAnsi="Arial" w:cs="Arial"/>
          <w:b/>
          <w:bCs/>
          <w:iCs/>
          <w:color w:val="E31837"/>
          <w:sz w:val="20"/>
          <w:szCs w:val="20"/>
        </w:rPr>
        <w:t>2.1. Dług sektora instytucji rządowych i samorządowych (wg definicji UE)</w:t>
      </w:r>
      <w:bookmarkEnd w:id="8"/>
    </w:p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6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 w:cs="Arial"/>
          <w:sz w:val="20"/>
          <w:szCs w:val="20"/>
        </w:rPr>
        <w:t xml:space="preserve">Na koniec I kwartału 2017 r. dług sektora instytucji rządowych i samorządowych (dług EDP) stanowiący jeden z elementów kryterium fiskalnego z </w:t>
      </w:r>
      <w:proofErr w:type="spellStart"/>
      <w:r w:rsidRPr="008C3CA5">
        <w:rPr>
          <w:rFonts w:ascii="Times New Roman" w:hAnsi="Times New Roman" w:cs="Arial"/>
          <w:sz w:val="20"/>
          <w:szCs w:val="20"/>
        </w:rPr>
        <w:t>Maastricht</w:t>
      </w:r>
      <w:proofErr w:type="spellEnd"/>
      <w:r w:rsidRPr="008C3CA5">
        <w:rPr>
          <w:rFonts w:ascii="Times New Roman" w:hAnsi="Times New Roman" w:cs="Arial"/>
          <w:sz w:val="20"/>
          <w:szCs w:val="20"/>
        </w:rPr>
        <w:t xml:space="preserve"> wyniósł 1.013,6 mld zł i w</w:t>
      </w:r>
      <w:r w:rsidRPr="008C3CA5">
        <w:rPr>
          <w:rFonts w:ascii="Times New Roman" w:hAnsi="Times New Roman"/>
          <w:sz w:val="20"/>
          <w:szCs w:val="20"/>
        </w:rPr>
        <w:t xml:space="preserve"> porównaniu z końcem 2016 r. wzrósł o 7,3 mld zł (0,7%).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680"/>
      </w:tblGrid>
      <w:tr w:rsidR="008C3CA5" w:rsidRPr="008C3CA5" w:rsidTr="008639BB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:rsidR="008C3CA5" w:rsidRPr="008C3CA5" w:rsidRDefault="008C3CA5" w:rsidP="008C3CA5">
            <w:pPr>
              <w:keepNext/>
              <w:spacing w:before="60" w:after="60" w:line="240" w:lineRule="auto"/>
              <w:jc w:val="both"/>
              <w:rPr>
                <w:rFonts w:ascii="Times New Roman" w:hAnsi="Times New Roman"/>
                <w:color w:val="E31837"/>
                <w:sz w:val="20"/>
                <w:szCs w:val="20"/>
                <w:lang w:eastAsia="pl-PL"/>
              </w:rPr>
            </w:pPr>
            <w:r w:rsidRPr="008C3CA5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Wyk. 5. Dług EDP</w:t>
            </w:r>
          </w:p>
        </w:tc>
      </w:tr>
      <w:tr w:rsidR="008C3CA5" w:rsidRPr="008C3CA5" w:rsidTr="008639BB">
        <w:tblPrEx>
          <w:tblCellMar>
            <w:left w:w="70" w:type="dxa"/>
            <w:right w:w="70" w:type="dxa"/>
          </w:tblCellMar>
        </w:tblPrEx>
        <w:trPr>
          <w:trHeight w:val="3307"/>
        </w:trPr>
        <w:tc>
          <w:tcPr>
            <w:tcW w:w="4680" w:type="dxa"/>
            <w:tcBorders>
              <w:top w:val="single" w:sz="8" w:space="0" w:color="ADAFB2"/>
            </w:tcBorders>
          </w:tcPr>
          <w:p w:rsidR="008C3CA5" w:rsidRPr="008C3CA5" w:rsidRDefault="008C3CA5" w:rsidP="008C3CA5">
            <w:pPr>
              <w:keepNext/>
              <w:spacing w:before="120" w:after="120" w:line="288" w:lineRule="auto"/>
              <w:ind w:left="-108"/>
              <w:jc w:val="both"/>
              <w:rPr>
                <w:rFonts w:ascii="Times New Roman" w:hAnsi="Times New Roman"/>
                <w:b/>
                <w:lang w:eastAsia="pl-PL"/>
              </w:rPr>
            </w:pPr>
            <w:r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03587378" wp14:editId="73527DB6">
                  <wp:extent cx="2993390" cy="216471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1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CA5" w:rsidRPr="008C3CA5" w:rsidTr="008639BB">
        <w:tc>
          <w:tcPr>
            <w:tcW w:w="4680" w:type="dxa"/>
          </w:tcPr>
          <w:p w:rsidR="008C3CA5" w:rsidRPr="008C3CA5" w:rsidRDefault="008C3CA5" w:rsidP="008C3CA5">
            <w:pPr>
              <w:keepNext/>
              <w:spacing w:before="6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8C3CA5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Źródło: MF</w:t>
            </w:r>
          </w:p>
        </w:tc>
      </w:tr>
    </w:tbl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Na dług EDP złożyło się zadłużenie podsektora:</w:t>
      </w:r>
    </w:p>
    <w:p w:rsidR="008C3CA5" w:rsidRPr="008C3CA5" w:rsidRDefault="008C3CA5" w:rsidP="008C3CA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rządowego 943,1 mld zł  (wzrost o 8,2 mld zł w</w:t>
      </w:r>
      <w:r w:rsidR="00894A57">
        <w:rPr>
          <w:rFonts w:ascii="Times New Roman" w:hAnsi="Times New Roman"/>
          <w:sz w:val="20"/>
          <w:szCs w:val="20"/>
        </w:rPr>
        <w:t> I </w:t>
      </w:r>
      <w:r w:rsidRPr="008C3CA5">
        <w:rPr>
          <w:rFonts w:ascii="Times New Roman" w:hAnsi="Times New Roman"/>
          <w:sz w:val="20"/>
          <w:szCs w:val="20"/>
        </w:rPr>
        <w:t>kw</w:t>
      </w:r>
      <w:r w:rsidR="009002E8">
        <w:rPr>
          <w:rFonts w:ascii="Times New Roman" w:hAnsi="Times New Roman"/>
          <w:sz w:val="20"/>
          <w:szCs w:val="20"/>
        </w:rPr>
        <w:t>.</w:t>
      </w:r>
      <w:r w:rsidRPr="008C3CA5">
        <w:rPr>
          <w:rFonts w:ascii="Times New Roman" w:hAnsi="Times New Roman"/>
          <w:sz w:val="20"/>
          <w:szCs w:val="20"/>
        </w:rPr>
        <w:t xml:space="preserve"> br.),</w:t>
      </w:r>
    </w:p>
    <w:p w:rsidR="008C3CA5" w:rsidRPr="008C3CA5" w:rsidRDefault="008C3CA5" w:rsidP="008C3CA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samorządowego 70,6 mld zł, (spadek o 0,9 mld zł w I kw</w:t>
      </w:r>
      <w:r w:rsidR="009002E8">
        <w:rPr>
          <w:rFonts w:ascii="Times New Roman" w:hAnsi="Times New Roman"/>
          <w:sz w:val="20"/>
          <w:szCs w:val="20"/>
        </w:rPr>
        <w:t>.</w:t>
      </w:r>
      <w:r w:rsidRPr="008C3CA5">
        <w:rPr>
          <w:rFonts w:ascii="Times New Roman" w:hAnsi="Times New Roman"/>
          <w:sz w:val="20"/>
          <w:szCs w:val="20"/>
        </w:rPr>
        <w:t xml:space="preserve"> br.),</w:t>
      </w:r>
    </w:p>
    <w:p w:rsidR="008C3CA5" w:rsidRPr="008C3CA5" w:rsidRDefault="008C3CA5" w:rsidP="008C3CA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podsektor funduszy ubezpieczeń nie posiadał zadłużenia.</w:t>
      </w:r>
    </w:p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Zmiana długu EDP w I kw</w:t>
      </w:r>
      <w:r w:rsidR="009002E8">
        <w:rPr>
          <w:rFonts w:ascii="Times New Roman" w:hAnsi="Times New Roman"/>
          <w:sz w:val="20"/>
          <w:szCs w:val="20"/>
        </w:rPr>
        <w:t>.</w:t>
      </w:r>
      <w:r w:rsidRPr="008C3CA5">
        <w:rPr>
          <w:rFonts w:ascii="Times New Roman" w:hAnsi="Times New Roman"/>
          <w:sz w:val="20"/>
          <w:szCs w:val="20"/>
        </w:rPr>
        <w:t xml:space="preserve"> 2017 r. wynikała głównie ze zmian zadłużenia SP. Ponadto innymi znaczącymi czynnikami były:</w:t>
      </w:r>
    </w:p>
    <w:p w:rsidR="008C3CA5" w:rsidRPr="008C3CA5" w:rsidRDefault="008C3CA5" w:rsidP="008C3CA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 xml:space="preserve">spadek zadłużenia przedsiębiorstw zaliczonych do sektora instytucji </w:t>
      </w:r>
      <w:r w:rsidR="00894A57">
        <w:rPr>
          <w:rFonts w:ascii="Times New Roman" w:hAnsi="Times New Roman"/>
          <w:sz w:val="20"/>
          <w:szCs w:val="20"/>
        </w:rPr>
        <w:t>rządowych i samorządowych        (-1,1 </w:t>
      </w:r>
      <w:r w:rsidRPr="008C3CA5">
        <w:rPr>
          <w:rFonts w:ascii="Times New Roman" w:hAnsi="Times New Roman"/>
          <w:sz w:val="20"/>
          <w:szCs w:val="20"/>
        </w:rPr>
        <w:t>mld zł),</w:t>
      </w:r>
    </w:p>
    <w:p w:rsidR="008C3CA5" w:rsidRPr="008C3CA5" w:rsidRDefault="008C3CA5" w:rsidP="008C3CA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spadek zadłużenia Krajowego Funduszu Drogowego (- 1,1 mld zł),</w:t>
      </w:r>
    </w:p>
    <w:p w:rsidR="008C3CA5" w:rsidRPr="008C3CA5" w:rsidRDefault="008C3CA5" w:rsidP="008C3CA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 xml:space="preserve">wzrost portfela skarbowych papierów wartościowych posiadanych przez fundusze umiejscowione w BGK (w tym KFD) oraz  Bankowy Fundusz Gwarancyjny (łącznie z funduszem ochrony środków gwarantowanych) </w:t>
      </w:r>
      <w:r w:rsidRPr="008C3CA5">
        <w:rPr>
          <w:rFonts w:ascii="Times New Roman" w:hAnsi="Times New Roman"/>
          <w:sz w:val="20"/>
          <w:szCs w:val="20"/>
        </w:rPr>
        <w:lastRenderedPageBreak/>
        <w:t>o 0,8 mld zł, co spowodowało spadek długu EDP w wyniku zwiększenia konsolidacji wzajemnych zobowiązań jednostek sektora.</w:t>
      </w:r>
    </w:p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 xml:space="preserve">Największy udział w </w:t>
      </w:r>
      <w:r w:rsidRPr="008C3CA5">
        <w:rPr>
          <w:rFonts w:ascii="Times New Roman" w:hAnsi="Times New Roman" w:cs="Arial"/>
          <w:sz w:val="20"/>
          <w:szCs w:val="20"/>
        </w:rPr>
        <w:t xml:space="preserve">długu sektora instytucji rządowych i samorządowych miał </w:t>
      </w:r>
      <w:r w:rsidRPr="008C3CA5">
        <w:rPr>
          <w:rFonts w:ascii="Times New Roman" w:hAnsi="Times New Roman"/>
          <w:sz w:val="20"/>
          <w:szCs w:val="20"/>
        </w:rPr>
        <w:t>dług Skarbu Państwa (SP).</w:t>
      </w:r>
    </w:p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 xml:space="preserve">Na koniec I kw. 2017 r. dług SP wyniósł 941,4 mld zł, co oznaczało wzrost o 12,8 mld zł (1,4%) względem końca 2016 roku. </w:t>
      </w:r>
    </w:p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Wzrost długu SP w I kw. 2017 r. był przede wszystkim wypadkową:</w:t>
      </w:r>
    </w:p>
    <w:p w:rsidR="008C3CA5" w:rsidRPr="008C3CA5" w:rsidRDefault="008C3CA5" w:rsidP="008C3CA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88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ujemnych potrzeb pożyczkowych netto  budżetu państwa (-4,6 mld zł);</w:t>
      </w:r>
    </w:p>
    <w:p w:rsidR="008C3CA5" w:rsidRPr="008C3CA5" w:rsidRDefault="008C3CA5" w:rsidP="008C3CA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88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 xml:space="preserve">wzrostu stanu środków na rachunkach budżetowych (+29,0 mld zł), związanego z gromadzeniem środków na finansowanie potrzeb pożyczkowych; </w:t>
      </w:r>
    </w:p>
    <w:p w:rsidR="008C3CA5" w:rsidRPr="008C3CA5" w:rsidRDefault="008C3CA5" w:rsidP="008C3CA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88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umocnienia złotego (-14,7 mld zł).</w:t>
      </w:r>
    </w:p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Na koniec I kw. 2017 r. udział długu w walutach obcych w całym długu SP wyniósł 32,1% wobec 34,4% na koniec 2016 r.</w:t>
      </w:r>
    </w:p>
    <w:p w:rsidR="008C3CA5" w:rsidRPr="008C3CA5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8C3CA5">
        <w:rPr>
          <w:rFonts w:ascii="Times New Roman" w:hAnsi="Times New Roman"/>
          <w:sz w:val="20"/>
          <w:szCs w:val="20"/>
        </w:rPr>
        <w:t>Udział długu wobec nierezydentów w długu ogółem na koniec I kw. 2017 r. wyniósł 52,3% wobec 53,4% na koniec 2016 r.</w:t>
      </w:r>
    </w:p>
    <w:p w:rsidR="00D55FD4" w:rsidRPr="00D55FD4" w:rsidRDefault="008C3CA5" w:rsidP="00D55FD4">
      <w:pPr>
        <w:pStyle w:val="Nagwek2"/>
        <w:spacing w:before="120" w:line="288" w:lineRule="auto"/>
        <w:rPr>
          <w:rFonts w:ascii="Arial" w:hAnsi="Arial" w:cs="Arial"/>
          <w:i w:val="0"/>
          <w:color w:val="E31837"/>
          <w:sz w:val="20"/>
          <w:szCs w:val="20"/>
        </w:rPr>
      </w:pPr>
      <w:bookmarkStart w:id="9" w:name="_Toc488656167"/>
      <w:r>
        <w:rPr>
          <w:rFonts w:ascii="Arial" w:hAnsi="Arial" w:cs="Arial"/>
          <w:i w:val="0"/>
          <w:color w:val="E31837"/>
          <w:sz w:val="20"/>
          <w:szCs w:val="20"/>
        </w:rPr>
        <w:t>2</w:t>
      </w:r>
      <w:r w:rsidR="00D55FD4" w:rsidRPr="00D55FD4">
        <w:rPr>
          <w:rFonts w:ascii="Arial" w:hAnsi="Arial" w:cs="Arial"/>
          <w:i w:val="0"/>
          <w:color w:val="E31837"/>
          <w:sz w:val="20"/>
          <w:szCs w:val="20"/>
        </w:rPr>
        <w:t xml:space="preserve">.2. Potrzeby pożyczkowe budżetu państwa </w:t>
      </w:r>
      <w:r w:rsidR="00D55FD4" w:rsidRPr="00D55FD4">
        <w:rPr>
          <w:rFonts w:ascii="Arial" w:hAnsi="Arial" w:cs="Arial"/>
          <w:i w:val="0"/>
          <w:color w:val="E31837"/>
          <w:sz w:val="20"/>
          <w:szCs w:val="20"/>
        </w:rPr>
        <w:br/>
        <w:t xml:space="preserve">i ich finansowanie </w:t>
      </w:r>
      <w:r w:rsidR="004C0F16" w:rsidRPr="004C0F16">
        <w:rPr>
          <w:rFonts w:ascii="Arial" w:hAnsi="Arial" w:cs="Arial"/>
          <w:i w:val="0"/>
          <w:color w:val="E31837"/>
          <w:sz w:val="20"/>
          <w:szCs w:val="20"/>
        </w:rPr>
        <w:t>w I kwartale 2017 r.</w:t>
      </w:r>
      <w:bookmarkEnd w:id="9"/>
    </w:p>
    <w:p w:rsidR="008C3CA5" w:rsidRPr="00B30446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Saldo p</w:t>
      </w:r>
      <w:r w:rsidRPr="00B30446">
        <w:rPr>
          <w:rFonts w:ascii="Times New Roman" w:hAnsi="Times New Roman"/>
          <w:sz w:val="20"/>
          <w:szCs w:val="20"/>
        </w:rPr>
        <w:t>otrzeb pożyczkow</w:t>
      </w:r>
      <w:r>
        <w:rPr>
          <w:rFonts w:ascii="Times New Roman" w:hAnsi="Times New Roman"/>
          <w:sz w:val="20"/>
          <w:szCs w:val="20"/>
        </w:rPr>
        <w:t>ych</w:t>
      </w:r>
      <w:r w:rsidRPr="00B30446">
        <w:rPr>
          <w:rFonts w:ascii="Times New Roman" w:hAnsi="Times New Roman"/>
          <w:sz w:val="20"/>
          <w:szCs w:val="20"/>
        </w:rPr>
        <w:t xml:space="preserve"> netto budżetu państwa </w:t>
      </w:r>
      <w:r>
        <w:rPr>
          <w:rFonts w:ascii="Times New Roman" w:hAnsi="Times New Roman"/>
          <w:sz w:val="20"/>
          <w:szCs w:val="20"/>
        </w:rPr>
        <w:t xml:space="preserve">było ujemne i </w:t>
      </w:r>
      <w:r w:rsidRPr="00B30446">
        <w:rPr>
          <w:rFonts w:ascii="Times New Roman" w:hAnsi="Times New Roman"/>
          <w:sz w:val="20"/>
          <w:szCs w:val="20"/>
        </w:rPr>
        <w:t>ukształtował</w:t>
      </w:r>
      <w:r>
        <w:rPr>
          <w:rFonts w:ascii="Times New Roman" w:hAnsi="Times New Roman"/>
          <w:sz w:val="20"/>
          <w:szCs w:val="20"/>
        </w:rPr>
        <w:t>o</w:t>
      </w:r>
      <w:r w:rsidRPr="00B30446">
        <w:rPr>
          <w:rFonts w:ascii="Times New Roman" w:hAnsi="Times New Roman"/>
          <w:sz w:val="20"/>
          <w:szCs w:val="20"/>
        </w:rPr>
        <w:t xml:space="preserve"> się na poziomie </w:t>
      </w:r>
      <w:r>
        <w:rPr>
          <w:rFonts w:ascii="Times New Roman" w:hAnsi="Times New Roman"/>
          <w:sz w:val="20"/>
          <w:szCs w:val="20"/>
        </w:rPr>
        <w:t>4,6</w:t>
      </w:r>
      <w:r w:rsidRPr="00B30446">
        <w:rPr>
          <w:rFonts w:ascii="Times New Roman" w:hAnsi="Times New Roman"/>
          <w:sz w:val="20"/>
          <w:szCs w:val="20"/>
        </w:rPr>
        <w:t> mld zł, w tym:</w:t>
      </w:r>
    </w:p>
    <w:p w:rsidR="008C3CA5" w:rsidRPr="00B30446" w:rsidRDefault="008C3CA5" w:rsidP="008C3CA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B30446">
        <w:rPr>
          <w:rFonts w:ascii="Times New Roman" w:hAnsi="Times New Roman"/>
          <w:sz w:val="20"/>
          <w:szCs w:val="20"/>
        </w:rPr>
        <w:t xml:space="preserve">deficyt budżetu państwa: </w:t>
      </w:r>
      <w:r>
        <w:rPr>
          <w:rFonts w:ascii="Times New Roman" w:hAnsi="Times New Roman"/>
          <w:sz w:val="20"/>
          <w:szCs w:val="20"/>
        </w:rPr>
        <w:t xml:space="preserve">2,3 </w:t>
      </w:r>
      <w:r w:rsidRPr="00B30446">
        <w:rPr>
          <w:rFonts w:ascii="Times New Roman" w:hAnsi="Times New Roman"/>
          <w:sz w:val="20"/>
          <w:szCs w:val="20"/>
        </w:rPr>
        <w:t>mld zł,</w:t>
      </w:r>
    </w:p>
    <w:p w:rsidR="008C3CA5" w:rsidRPr="00B30446" w:rsidRDefault="008C3CA5" w:rsidP="008C3CA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B30446">
        <w:rPr>
          <w:rFonts w:ascii="Times New Roman" w:hAnsi="Times New Roman"/>
          <w:sz w:val="20"/>
          <w:szCs w:val="20"/>
        </w:rPr>
        <w:t>transfery do OFE: 0,8 mld zł,</w:t>
      </w:r>
    </w:p>
    <w:p w:rsidR="008C3CA5" w:rsidRDefault="008C3CA5" w:rsidP="008C3CA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B30446">
        <w:rPr>
          <w:rFonts w:ascii="Times New Roman" w:hAnsi="Times New Roman"/>
          <w:sz w:val="20"/>
          <w:szCs w:val="20"/>
        </w:rPr>
        <w:t>pomniejszenie potrzeb z tytułu</w:t>
      </w:r>
      <w:r>
        <w:rPr>
          <w:rFonts w:ascii="Times New Roman" w:hAnsi="Times New Roman"/>
          <w:sz w:val="20"/>
          <w:szCs w:val="20"/>
        </w:rPr>
        <w:t xml:space="preserve"> zarządzania środkami europejskimi (5,9 mld zł), zarządzania płynnością sektora finansów publicznych (1,6 mld zł), salda pozostałych przychodów i rozchodów (0,2 mld zł).</w:t>
      </w:r>
    </w:p>
    <w:p w:rsidR="008C3CA5" w:rsidRPr="00B30446" w:rsidRDefault="008C3CA5" w:rsidP="008C3CA5">
      <w:pPr>
        <w:widowControl w:val="0"/>
        <w:autoSpaceDE w:val="0"/>
        <w:autoSpaceDN w:val="0"/>
        <w:adjustRightInd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B30446">
        <w:rPr>
          <w:rFonts w:ascii="Times New Roman" w:hAnsi="Times New Roman"/>
          <w:sz w:val="20"/>
          <w:szCs w:val="20"/>
        </w:rPr>
        <w:t>Wartość długu przypadającego do wykupu w omawianym okresie wyniosła wg kapitału</w:t>
      </w:r>
      <w:r>
        <w:rPr>
          <w:rFonts w:ascii="Times New Roman" w:hAnsi="Times New Roman"/>
          <w:sz w:val="20"/>
          <w:szCs w:val="20"/>
        </w:rPr>
        <w:t xml:space="preserve"> 28,8</w:t>
      </w:r>
      <w:r w:rsidRPr="00B30446">
        <w:rPr>
          <w:rFonts w:ascii="Times New Roman" w:hAnsi="Times New Roman"/>
          <w:sz w:val="20"/>
          <w:szCs w:val="20"/>
        </w:rPr>
        <w:t xml:space="preserve"> mld zł, w tym krajowego </w:t>
      </w:r>
      <w:r>
        <w:rPr>
          <w:rFonts w:ascii="Times New Roman" w:hAnsi="Times New Roman"/>
          <w:sz w:val="20"/>
          <w:szCs w:val="20"/>
        </w:rPr>
        <w:t>19,6</w:t>
      </w:r>
      <w:r w:rsidRPr="00B30446">
        <w:rPr>
          <w:rFonts w:ascii="Times New Roman" w:hAnsi="Times New Roman"/>
          <w:sz w:val="20"/>
          <w:szCs w:val="20"/>
        </w:rPr>
        <w:t> mld zł, a</w:t>
      </w:r>
      <w:r w:rsidR="009002E8">
        <w:rPr>
          <w:rFonts w:ascii="Times New Roman" w:hAnsi="Times New Roman"/>
          <w:sz w:val="20"/>
          <w:szCs w:val="20"/>
        </w:rPr>
        <w:t> </w:t>
      </w:r>
      <w:r w:rsidRPr="00B30446">
        <w:rPr>
          <w:rFonts w:ascii="Times New Roman" w:hAnsi="Times New Roman"/>
          <w:sz w:val="20"/>
          <w:szCs w:val="20"/>
        </w:rPr>
        <w:t xml:space="preserve">zagranicznego </w:t>
      </w:r>
      <w:r>
        <w:rPr>
          <w:rFonts w:ascii="Times New Roman" w:hAnsi="Times New Roman"/>
          <w:sz w:val="20"/>
          <w:szCs w:val="20"/>
        </w:rPr>
        <w:t>9,2</w:t>
      </w:r>
      <w:r w:rsidRPr="00B30446">
        <w:rPr>
          <w:rFonts w:ascii="Times New Roman" w:hAnsi="Times New Roman"/>
          <w:sz w:val="20"/>
          <w:szCs w:val="20"/>
        </w:rPr>
        <w:t xml:space="preserve"> mld zł. </w:t>
      </w:r>
      <w:r w:rsidRPr="008C3CA5">
        <w:rPr>
          <w:rFonts w:ascii="Times New Roman" w:hAnsi="Times New Roman"/>
          <w:b/>
          <w:sz w:val="20"/>
          <w:szCs w:val="20"/>
        </w:rPr>
        <w:t>Potrzeby pożyczkowe brutto</w:t>
      </w:r>
      <w:r w:rsidRPr="00B30446">
        <w:rPr>
          <w:rFonts w:ascii="Times New Roman" w:hAnsi="Times New Roman"/>
          <w:sz w:val="20"/>
          <w:szCs w:val="20"/>
        </w:rPr>
        <w:t>, tj. suma potrzeb netto i</w:t>
      </w:r>
      <w:r>
        <w:rPr>
          <w:rFonts w:ascii="Times New Roman" w:hAnsi="Times New Roman"/>
          <w:sz w:val="20"/>
          <w:szCs w:val="20"/>
        </w:rPr>
        <w:t> </w:t>
      </w:r>
      <w:r w:rsidRPr="00B30446">
        <w:rPr>
          <w:rFonts w:ascii="Times New Roman" w:hAnsi="Times New Roman"/>
          <w:sz w:val="20"/>
          <w:szCs w:val="20"/>
        </w:rPr>
        <w:t xml:space="preserve">długu przypadającego do wykupu, wyniosły </w:t>
      </w:r>
      <w:r>
        <w:rPr>
          <w:rFonts w:ascii="Times New Roman" w:hAnsi="Times New Roman"/>
          <w:sz w:val="20"/>
          <w:szCs w:val="20"/>
        </w:rPr>
        <w:t>24,2</w:t>
      </w:r>
      <w:r w:rsidRPr="00B30446">
        <w:rPr>
          <w:rFonts w:ascii="Times New Roman" w:hAnsi="Times New Roman"/>
          <w:sz w:val="20"/>
          <w:szCs w:val="20"/>
        </w:rPr>
        <w:t> mld zł. Po uwzględnieniu</w:t>
      </w:r>
      <w:r>
        <w:rPr>
          <w:rFonts w:ascii="Times New Roman" w:hAnsi="Times New Roman"/>
          <w:sz w:val="20"/>
          <w:szCs w:val="20"/>
        </w:rPr>
        <w:t xml:space="preserve"> przedterminowych </w:t>
      </w:r>
      <w:r w:rsidRPr="00B30446">
        <w:rPr>
          <w:rFonts w:ascii="Times New Roman" w:hAnsi="Times New Roman"/>
          <w:sz w:val="20"/>
          <w:szCs w:val="20"/>
        </w:rPr>
        <w:t xml:space="preserve">odkupów, wykup długu wyniósł </w:t>
      </w:r>
      <w:r>
        <w:rPr>
          <w:rFonts w:ascii="Times New Roman" w:hAnsi="Times New Roman"/>
          <w:sz w:val="20"/>
          <w:szCs w:val="20"/>
        </w:rPr>
        <w:t>26,7</w:t>
      </w:r>
      <w:r w:rsidRPr="00B30446">
        <w:rPr>
          <w:rFonts w:ascii="Times New Roman" w:hAnsi="Times New Roman"/>
          <w:sz w:val="20"/>
          <w:szCs w:val="20"/>
        </w:rPr>
        <w:t xml:space="preserve"> mld zł (w tym krajowego </w:t>
      </w:r>
      <w:r>
        <w:rPr>
          <w:rFonts w:ascii="Times New Roman" w:hAnsi="Times New Roman"/>
          <w:sz w:val="20"/>
          <w:szCs w:val="20"/>
        </w:rPr>
        <w:t>17,5</w:t>
      </w:r>
      <w:r w:rsidR="00894A57">
        <w:rPr>
          <w:rFonts w:ascii="Times New Roman" w:hAnsi="Times New Roman"/>
          <w:sz w:val="20"/>
          <w:szCs w:val="20"/>
        </w:rPr>
        <w:t> mld </w:t>
      </w:r>
      <w:r w:rsidRPr="00B30446">
        <w:rPr>
          <w:rFonts w:ascii="Times New Roman" w:hAnsi="Times New Roman"/>
          <w:sz w:val="20"/>
          <w:szCs w:val="20"/>
        </w:rPr>
        <w:t>zł  i</w:t>
      </w:r>
      <w:r>
        <w:rPr>
          <w:rFonts w:ascii="Times New Roman" w:hAnsi="Times New Roman"/>
          <w:sz w:val="20"/>
          <w:szCs w:val="20"/>
        </w:rPr>
        <w:t> </w:t>
      </w:r>
      <w:r w:rsidRPr="00B30446">
        <w:rPr>
          <w:rFonts w:ascii="Times New Roman" w:hAnsi="Times New Roman"/>
          <w:sz w:val="20"/>
          <w:szCs w:val="20"/>
        </w:rPr>
        <w:t xml:space="preserve">zagranicznego </w:t>
      </w:r>
      <w:r>
        <w:rPr>
          <w:rFonts w:ascii="Times New Roman" w:hAnsi="Times New Roman"/>
          <w:sz w:val="20"/>
          <w:szCs w:val="20"/>
        </w:rPr>
        <w:t>9,2</w:t>
      </w:r>
      <w:r w:rsidRPr="00B30446">
        <w:rPr>
          <w:rFonts w:ascii="Times New Roman" w:hAnsi="Times New Roman"/>
          <w:sz w:val="20"/>
          <w:szCs w:val="20"/>
        </w:rPr>
        <w:t xml:space="preserve"> mld zł).</w:t>
      </w:r>
    </w:p>
    <w:p w:rsidR="008C3CA5" w:rsidRPr="00F10253" w:rsidRDefault="008C3CA5" w:rsidP="008C3CA5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F10253">
        <w:rPr>
          <w:rFonts w:ascii="Times New Roman" w:hAnsi="Times New Roman"/>
          <w:sz w:val="20"/>
          <w:szCs w:val="20"/>
        </w:rPr>
        <w:t xml:space="preserve">Finansowanie potrzeb pożyczkowych </w:t>
      </w:r>
      <w:r>
        <w:rPr>
          <w:rFonts w:ascii="Times New Roman" w:hAnsi="Times New Roman"/>
          <w:sz w:val="20"/>
          <w:szCs w:val="20"/>
        </w:rPr>
        <w:t xml:space="preserve">było następujące: </w:t>
      </w:r>
    </w:p>
    <w:p w:rsidR="008C3CA5" w:rsidRPr="00043E63" w:rsidRDefault="008C3CA5" w:rsidP="008C3CA5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</w:t>
      </w:r>
      <w:r w:rsidRPr="00043E63">
        <w:rPr>
          <w:rFonts w:ascii="Times New Roman" w:hAnsi="Times New Roman"/>
          <w:sz w:val="20"/>
          <w:szCs w:val="20"/>
        </w:rPr>
        <w:t>a rynku krajowym środki pozyskano z emisji:</w:t>
      </w:r>
    </w:p>
    <w:p w:rsidR="008C3CA5" w:rsidRPr="00F10253" w:rsidRDefault="008C3CA5" w:rsidP="008C3CA5">
      <w:pPr>
        <w:widowControl w:val="0"/>
        <w:numPr>
          <w:ilvl w:val="0"/>
          <w:numId w:val="1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 w:rsidRPr="00F10253">
        <w:rPr>
          <w:rFonts w:ascii="Times New Roman" w:hAnsi="Times New Roman"/>
          <w:sz w:val="20"/>
          <w:szCs w:val="20"/>
        </w:rPr>
        <w:lastRenderedPageBreak/>
        <w:t xml:space="preserve">obligacji hurtowych: </w:t>
      </w:r>
      <w:r>
        <w:rPr>
          <w:rFonts w:ascii="Times New Roman" w:hAnsi="Times New Roman"/>
          <w:sz w:val="20"/>
          <w:szCs w:val="20"/>
        </w:rPr>
        <w:t>37,4</w:t>
      </w:r>
      <w:r w:rsidRPr="00F10253">
        <w:rPr>
          <w:rFonts w:ascii="Times New Roman" w:hAnsi="Times New Roman"/>
          <w:sz w:val="20"/>
          <w:szCs w:val="20"/>
        </w:rPr>
        <w:t> mld zł</w:t>
      </w:r>
      <w:r>
        <w:rPr>
          <w:rFonts w:ascii="Times New Roman" w:hAnsi="Times New Roman"/>
          <w:sz w:val="20"/>
          <w:szCs w:val="20"/>
        </w:rPr>
        <w:t>,</w:t>
      </w:r>
    </w:p>
    <w:p w:rsidR="008C3CA5" w:rsidRDefault="008C3CA5" w:rsidP="008C3CA5">
      <w:pPr>
        <w:widowControl w:val="0"/>
        <w:numPr>
          <w:ilvl w:val="0"/>
          <w:numId w:val="1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 w:rsidRPr="00F10253">
        <w:rPr>
          <w:rFonts w:ascii="Times New Roman" w:hAnsi="Times New Roman"/>
          <w:sz w:val="20"/>
          <w:szCs w:val="20"/>
        </w:rPr>
        <w:t xml:space="preserve">obligacji detalicznych: </w:t>
      </w:r>
      <w:r>
        <w:rPr>
          <w:rFonts w:ascii="Times New Roman" w:hAnsi="Times New Roman"/>
          <w:sz w:val="20"/>
          <w:szCs w:val="20"/>
        </w:rPr>
        <w:t>1,4</w:t>
      </w:r>
      <w:r w:rsidRPr="00F10253">
        <w:rPr>
          <w:rFonts w:ascii="Times New Roman" w:hAnsi="Times New Roman"/>
          <w:sz w:val="20"/>
          <w:szCs w:val="20"/>
        </w:rPr>
        <w:t> mld zł</w:t>
      </w:r>
      <w:r>
        <w:rPr>
          <w:rFonts w:ascii="Times New Roman" w:hAnsi="Times New Roman"/>
          <w:sz w:val="20"/>
          <w:szCs w:val="20"/>
        </w:rPr>
        <w:t>,</w:t>
      </w:r>
    </w:p>
    <w:p w:rsidR="008C3CA5" w:rsidRPr="00F10253" w:rsidRDefault="008C3CA5" w:rsidP="008C3CA5">
      <w:pPr>
        <w:widowControl w:val="0"/>
        <w:numPr>
          <w:ilvl w:val="0"/>
          <w:numId w:val="1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bonów skarbowych: 5,9 mld zł,</w:t>
      </w:r>
    </w:p>
    <w:p w:rsidR="008C3CA5" w:rsidRPr="00EF2742" w:rsidRDefault="008C3CA5" w:rsidP="008C3CA5">
      <w:pPr>
        <w:pStyle w:val="Akapitzlist"/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894E4F">
        <w:rPr>
          <w:rFonts w:ascii="Times New Roman" w:hAnsi="Times New Roman"/>
          <w:sz w:val="20"/>
          <w:szCs w:val="20"/>
        </w:rPr>
        <w:t>n</w:t>
      </w:r>
      <w:r w:rsidRPr="00894E4F">
        <w:rPr>
          <w:rFonts w:ascii="Times New Roman" w:hAnsi="Times New Roman" w:cs="Arial"/>
          <w:sz w:val="20"/>
          <w:szCs w:val="20"/>
        </w:rPr>
        <w:t xml:space="preserve">a rynkach </w:t>
      </w:r>
      <w:r w:rsidRPr="00894E4F">
        <w:rPr>
          <w:rFonts w:ascii="Times New Roman" w:hAnsi="Times New Roman"/>
          <w:sz w:val="20"/>
          <w:szCs w:val="20"/>
        </w:rPr>
        <w:t>zagranicznych</w:t>
      </w:r>
      <w:r w:rsidRPr="00894E4F">
        <w:rPr>
          <w:rFonts w:ascii="Times New Roman" w:hAnsi="Times New Roman" w:cs="Arial"/>
          <w:sz w:val="20"/>
          <w:szCs w:val="20"/>
        </w:rPr>
        <w:t xml:space="preserve"> środki pozyskano z</w:t>
      </w:r>
      <w:r>
        <w:rPr>
          <w:rFonts w:ascii="Times New Roman" w:hAnsi="Times New Roman"/>
          <w:sz w:val="20"/>
          <w:szCs w:val="20"/>
        </w:rPr>
        <w:t xml:space="preserve"> </w:t>
      </w:r>
      <w:r w:rsidRPr="00894E4F">
        <w:rPr>
          <w:rFonts w:ascii="Times New Roman" w:hAnsi="Times New Roman"/>
          <w:sz w:val="20"/>
          <w:szCs w:val="20"/>
        </w:rPr>
        <w:t xml:space="preserve">emisji obligacji: </w:t>
      </w:r>
      <w:r>
        <w:rPr>
          <w:rFonts w:ascii="Times New Roman" w:hAnsi="Times New Roman"/>
          <w:sz w:val="20"/>
          <w:szCs w:val="20"/>
        </w:rPr>
        <w:t>6,4</w:t>
      </w:r>
      <w:r w:rsidRPr="00894E4F">
        <w:rPr>
          <w:rFonts w:ascii="Times New Roman" w:hAnsi="Times New Roman"/>
          <w:sz w:val="20"/>
          <w:szCs w:val="20"/>
        </w:rPr>
        <w:t> mld zł (</w:t>
      </w:r>
      <w:r>
        <w:rPr>
          <w:rFonts w:ascii="Times New Roman" w:hAnsi="Times New Roman"/>
          <w:sz w:val="20"/>
          <w:szCs w:val="20"/>
        </w:rPr>
        <w:t>1,5</w:t>
      </w:r>
      <w:r w:rsidRPr="00894E4F">
        <w:rPr>
          <w:rFonts w:ascii="Times New Roman" w:hAnsi="Times New Roman"/>
          <w:sz w:val="20"/>
          <w:szCs w:val="20"/>
        </w:rPr>
        <w:t> mld </w:t>
      </w:r>
      <w:r>
        <w:rPr>
          <w:rFonts w:ascii="Times New Roman" w:hAnsi="Times New Roman"/>
          <w:sz w:val="20"/>
          <w:szCs w:val="20"/>
        </w:rPr>
        <w:t>EUR</w:t>
      </w:r>
      <w:r w:rsidRPr="00894E4F">
        <w:rPr>
          <w:rFonts w:ascii="Times New Roman" w:hAnsi="Times New Roman"/>
          <w:sz w:val="20"/>
          <w:szCs w:val="20"/>
        </w:rPr>
        <w:t>)</w:t>
      </w:r>
      <w:r w:rsidRPr="00EF2742">
        <w:rPr>
          <w:rFonts w:ascii="Times New Roman" w:hAnsi="Times New Roman"/>
          <w:sz w:val="20"/>
          <w:szCs w:val="20"/>
        </w:rPr>
        <w:t xml:space="preserve">. </w:t>
      </w:r>
    </w:p>
    <w:tbl>
      <w:tblPr>
        <w:tblpPr w:leftFromText="141" w:rightFromText="141" w:vertAnchor="text" w:horzAnchor="margin" w:tblpY="163"/>
        <w:tblW w:w="4553" w:type="dxa"/>
        <w:tblBorders>
          <w:insideH w:val="single" w:sz="8" w:space="0" w:color="ADAFB2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38"/>
      </w:tblGrid>
      <w:tr w:rsidR="008C3CA5" w:rsidRPr="00984676" w:rsidTr="008C3CA5">
        <w:trPr>
          <w:gridAfter w:val="1"/>
          <w:wAfter w:w="38" w:type="dxa"/>
          <w:trHeight w:val="611"/>
        </w:trPr>
        <w:tc>
          <w:tcPr>
            <w:tcW w:w="4515" w:type="dxa"/>
          </w:tcPr>
          <w:p w:rsidR="008C3CA5" w:rsidRPr="00A02DEC" w:rsidRDefault="008C3CA5" w:rsidP="00A02DEC">
            <w:pPr>
              <w:keepNext/>
              <w:spacing w:before="60" w:after="60" w:line="240" w:lineRule="auto"/>
              <w:jc w:val="both"/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</w:pPr>
            <w:r w:rsidRPr="00A02DEC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 xml:space="preserve">Wyk. </w:t>
            </w:r>
            <w:r w:rsidR="00A02DEC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6</w:t>
            </w:r>
            <w:r w:rsidRPr="00A02DEC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. Rentowności SPW – rynek wtórny</w:t>
            </w:r>
          </w:p>
        </w:tc>
      </w:tr>
      <w:tr w:rsidR="008C3CA5" w:rsidRPr="00984676" w:rsidTr="008C3CA5">
        <w:tblPrEx>
          <w:tblCellMar>
            <w:left w:w="70" w:type="dxa"/>
            <w:right w:w="70" w:type="dxa"/>
          </w:tblCellMar>
        </w:tblPrEx>
        <w:trPr>
          <w:trHeight w:val="1736"/>
        </w:trPr>
        <w:tc>
          <w:tcPr>
            <w:tcW w:w="4553" w:type="dxa"/>
            <w:gridSpan w:val="2"/>
          </w:tcPr>
          <w:p w:rsidR="008C3CA5" w:rsidRPr="00984676" w:rsidRDefault="008C3CA5" w:rsidP="008C3CA5">
            <w:pPr>
              <w:pStyle w:val="A1"/>
              <w:keepNext/>
              <w:spacing w:before="60" w:after="60" w:line="288" w:lineRule="auto"/>
              <w:ind w:left="-108" w:firstLine="0"/>
              <w:jc w:val="center"/>
              <w:rPr>
                <w:b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346755C" wp14:editId="11110398">
                  <wp:extent cx="2802255" cy="1986280"/>
                  <wp:effectExtent l="0" t="0" r="0" b="0"/>
                  <wp:docPr id="1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1986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CA5" w:rsidRPr="00984676" w:rsidTr="008C3CA5">
        <w:trPr>
          <w:gridAfter w:val="1"/>
          <w:wAfter w:w="38" w:type="dxa"/>
          <w:trHeight w:val="144"/>
        </w:trPr>
        <w:tc>
          <w:tcPr>
            <w:tcW w:w="4515" w:type="dxa"/>
          </w:tcPr>
          <w:p w:rsidR="008C3CA5" w:rsidRPr="00A02DEC" w:rsidRDefault="008C3CA5" w:rsidP="00A02DEC">
            <w:pPr>
              <w:keepNext/>
              <w:spacing w:before="60" w:after="60" w:line="288" w:lineRule="auto"/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</w:pPr>
            <w:r w:rsidRPr="00A02DEC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Źródło: MF</w:t>
            </w:r>
          </w:p>
        </w:tc>
      </w:tr>
    </w:tbl>
    <w:p w:rsidR="008C3CA5" w:rsidRDefault="008C3CA5" w:rsidP="008C3CA5">
      <w:pPr>
        <w:tabs>
          <w:tab w:val="num" w:pos="284"/>
        </w:tabs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602F67">
        <w:rPr>
          <w:rFonts w:ascii="Times New Roman" w:hAnsi="Times New Roman"/>
          <w:sz w:val="20"/>
          <w:szCs w:val="20"/>
        </w:rPr>
        <w:t xml:space="preserve">W </w:t>
      </w:r>
      <w:r>
        <w:rPr>
          <w:rFonts w:ascii="Times New Roman" w:hAnsi="Times New Roman"/>
          <w:sz w:val="20"/>
          <w:szCs w:val="20"/>
        </w:rPr>
        <w:t>I kw. 2017 r. nastąpił:</w:t>
      </w:r>
    </w:p>
    <w:p w:rsidR="008C3CA5" w:rsidRPr="00802BE2" w:rsidRDefault="008C3CA5" w:rsidP="008C3CA5">
      <w:pPr>
        <w:pStyle w:val="Akapitzlist"/>
        <w:numPr>
          <w:ilvl w:val="0"/>
          <w:numId w:val="41"/>
        </w:numPr>
        <w:spacing w:before="120" w:after="0" w:line="288" w:lineRule="auto"/>
        <w:ind w:left="284" w:hanging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802BE2">
        <w:rPr>
          <w:rFonts w:ascii="Times New Roman" w:hAnsi="Times New Roman"/>
          <w:sz w:val="20"/>
          <w:szCs w:val="20"/>
        </w:rPr>
        <w:t>w zakresie sytuacji płynnościowej budżetu państwa:</w:t>
      </w:r>
    </w:p>
    <w:p w:rsidR="008C3CA5" w:rsidRDefault="008C3CA5" w:rsidP="008C3CA5">
      <w:pPr>
        <w:pStyle w:val="Akapitzlist"/>
        <w:spacing w:before="60" w:after="120" w:line="288" w:lineRule="auto"/>
        <w:ind w:left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802BE2">
        <w:rPr>
          <w:rFonts w:ascii="Times New Roman" w:hAnsi="Times New Roman"/>
          <w:sz w:val="20"/>
          <w:szCs w:val="20"/>
        </w:rPr>
        <w:t xml:space="preserve">wzrost środków na rachunkach budżetowych  </w:t>
      </w:r>
      <w:r w:rsidRPr="009D1657">
        <w:rPr>
          <w:rFonts w:ascii="Times New Roman" w:hAnsi="Times New Roman"/>
          <w:sz w:val="20"/>
          <w:szCs w:val="20"/>
        </w:rPr>
        <w:t>o </w:t>
      </w:r>
      <w:r>
        <w:rPr>
          <w:rFonts w:ascii="Times New Roman" w:hAnsi="Times New Roman"/>
          <w:sz w:val="20"/>
          <w:szCs w:val="20"/>
        </w:rPr>
        <w:t>30,7</w:t>
      </w:r>
      <w:r w:rsidRPr="009D1657">
        <w:rPr>
          <w:rFonts w:ascii="Times New Roman" w:hAnsi="Times New Roman"/>
          <w:sz w:val="20"/>
          <w:szCs w:val="20"/>
        </w:rPr>
        <w:t xml:space="preserve"> mld zł do </w:t>
      </w:r>
      <w:r>
        <w:rPr>
          <w:rFonts w:ascii="Times New Roman" w:hAnsi="Times New Roman"/>
          <w:sz w:val="20"/>
          <w:szCs w:val="20"/>
        </w:rPr>
        <w:t>70,5</w:t>
      </w:r>
      <w:r w:rsidRPr="009D1657">
        <w:rPr>
          <w:rFonts w:ascii="Times New Roman" w:hAnsi="Times New Roman"/>
          <w:sz w:val="20"/>
          <w:szCs w:val="20"/>
        </w:rPr>
        <w:t xml:space="preserve"> mld zł,</w:t>
      </w:r>
    </w:p>
    <w:p w:rsidR="008C3CA5" w:rsidRDefault="008C3CA5" w:rsidP="008C3CA5">
      <w:pPr>
        <w:pStyle w:val="Akapitzlist"/>
        <w:numPr>
          <w:ilvl w:val="0"/>
          <w:numId w:val="41"/>
        </w:numPr>
        <w:spacing w:before="120" w:after="0" w:line="288" w:lineRule="auto"/>
        <w:ind w:left="284" w:hanging="284"/>
        <w:contextualSpacing w:val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 zakresie struktury podmiotowej zadłużenia na rynku krajowym:</w:t>
      </w:r>
    </w:p>
    <w:p w:rsidR="008C3CA5" w:rsidRDefault="008C3CA5" w:rsidP="008C3CA5">
      <w:pPr>
        <w:pStyle w:val="Akapitzlist"/>
        <w:spacing w:before="60" w:after="120" w:line="288" w:lineRule="auto"/>
        <w:ind w:left="284"/>
        <w:contextualSpacing w:val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wzrost</w:t>
      </w:r>
      <w:r w:rsidRPr="00E137C9">
        <w:rPr>
          <w:rFonts w:ascii="Times New Roman" w:hAnsi="Times New Roman"/>
          <w:sz w:val="20"/>
          <w:szCs w:val="20"/>
        </w:rPr>
        <w:t xml:space="preserve"> wobec krajowego sektora bankowego </w:t>
      </w:r>
      <w:r w:rsidRPr="00E137C9">
        <w:rPr>
          <w:rFonts w:ascii="Times New Roman" w:hAnsi="Times New Roman"/>
          <w:sz w:val="20"/>
          <w:szCs w:val="20"/>
        </w:rPr>
        <w:br/>
        <w:t>o </w:t>
      </w:r>
      <w:r>
        <w:rPr>
          <w:rFonts w:ascii="Times New Roman" w:hAnsi="Times New Roman"/>
          <w:sz w:val="20"/>
          <w:szCs w:val="20"/>
        </w:rPr>
        <w:t>14,3</w:t>
      </w:r>
      <w:r w:rsidRPr="00E137C9">
        <w:rPr>
          <w:rFonts w:ascii="Times New Roman" w:hAnsi="Times New Roman"/>
          <w:sz w:val="20"/>
          <w:szCs w:val="20"/>
        </w:rPr>
        <w:t xml:space="preserve"> mld zł, wzrost zadłużenia wobec nierezydentów o 1</w:t>
      </w:r>
      <w:r>
        <w:rPr>
          <w:rFonts w:ascii="Times New Roman" w:hAnsi="Times New Roman"/>
          <w:sz w:val="20"/>
          <w:szCs w:val="20"/>
        </w:rPr>
        <w:t>2,5</w:t>
      </w:r>
      <w:r w:rsidRPr="00E137C9">
        <w:rPr>
          <w:rFonts w:ascii="Times New Roman" w:hAnsi="Times New Roman"/>
          <w:sz w:val="20"/>
          <w:szCs w:val="20"/>
        </w:rPr>
        <w:t xml:space="preserve"> mld zł oraz wzrost wobec sektora </w:t>
      </w:r>
      <w:proofErr w:type="spellStart"/>
      <w:r w:rsidRPr="00E137C9">
        <w:rPr>
          <w:rFonts w:ascii="Times New Roman" w:hAnsi="Times New Roman"/>
          <w:sz w:val="20"/>
          <w:szCs w:val="20"/>
        </w:rPr>
        <w:t>pozabankowego</w:t>
      </w:r>
      <w:proofErr w:type="spellEnd"/>
      <w:r w:rsidRPr="00E137C9">
        <w:rPr>
          <w:rFonts w:ascii="Times New Roman" w:hAnsi="Times New Roman"/>
          <w:sz w:val="20"/>
          <w:szCs w:val="20"/>
        </w:rPr>
        <w:t xml:space="preserve"> o 2,</w:t>
      </w:r>
      <w:r>
        <w:rPr>
          <w:rFonts w:ascii="Times New Roman" w:hAnsi="Times New Roman"/>
          <w:sz w:val="20"/>
          <w:szCs w:val="20"/>
        </w:rPr>
        <w:t>9</w:t>
      </w:r>
      <w:r w:rsidRPr="00E137C9">
        <w:rPr>
          <w:rFonts w:ascii="Times New Roman" w:hAnsi="Times New Roman"/>
          <w:sz w:val="20"/>
          <w:szCs w:val="20"/>
        </w:rPr>
        <w:t xml:space="preserve"> mld zł,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C3CA5" w:rsidRDefault="008C3CA5" w:rsidP="008C3CA5">
      <w:pPr>
        <w:pStyle w:val="Akapitzlist"/>
        <w:numPr>
          <w:ilvl w:val="0"/>
          <w:numId w:val="41"/>
        </w:numPr>
        <w:spacing w:before="120" w:after="0" w:line="288" w:lineRule="auto"/>
        <w:ind w:left="284" w:hanging="284"/>
        <w:contextualSpacing w:val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 rynku polskich obligacji:</w:t>
      </w:r>
    </w:p>
    <w:p w:rsidR="008C3CA5" w:rsidRDefault="008C3CA5" w:rsidP="008C3CA5">
      <w:pPr>
        <w:widowControl w:val="0"/>
        <w:numPr>
          <w:ilvl w:val="0"/>
          <w:numId w:val="1"/>
        </w:numPr>
        <w:tabs>
          <w:tab w:val="clear" w:pos="360"/>
        </w:tabs>
        <w:spacing w:before="60" w:after="120" w:line="288" w:lineRule="auto"/>
        <w:ind w:left="568" w:hanging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na rynku krajowym: stabilizacja rentowności na krótkim końcu i środku krzywej dochodowości, spadek na długim końcu - </w:t>
      </w:r>
      <w:r w:rsidRPr="00C468CB">
        <w:rPr>
          <w:rFonts w:ascii="Times New Roman" w:hAnsi="Times New Roman"/>
          <w:sz w:val="20"/>
          <w:szCs w:val="20"/>
        </w:rPr>
        <w:t xml:space="preserve">na koniec kwartału </w:t>
      </w:r>
      <w:r>
        <w:rPr>
          <w:rFonts w:ascii="Times New Roman" w:hAnsi="Times New Roman"/>
          <w:sz w:val="20"/>
          <w:szCs w:val="20"/>
        </w:rPr>
        <w:t xml:space="preserve">dla obligacji </w:t>
      </w:r>
      <w:r w:rsidRPr="00C468CB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-</w:t>
      </w:r>
      <w:r w:rsidRPr="00C468CB">
        <w:rPr>
          <w:rFonts w:ascii="Times New Roman" w:hAnsi="Times New Roman"/>
          <w:sz w:val="20"/>
          <w:szCs w:val="20"/>
        </w:rPr>
        <w:t>, 5- i 10-letnich</w:t>
      </w:r>
      <w:r>
        <w:rPr>
          <w:rFonts w:ascii="Times New Roman" w:hAnsi="Times New Roman"/>
          <w:sz w:val="20"/>
          <w:szCs w:val="20"/>
        </w:rPr>
        <w:t xml:space="preserve"> rentowności</w:t>
      </w:r>
      <w:r w:rsidRPr="00C468CB">
        <w:rPr>
          <w:rFonts w:ascii="Times New Roman" w:hAnsi="Times New Roman"/>
          <w:sz w:val="20"/>
          <w:szCs w:val="20"/>
        </w:rPr>
        <w:t xml:space="preserve"> wyniosły odpowiednio </w:t>
      </w:r>
      <w:r>
        <w:rPr>
          <w:rFonts w:ascii="Times New Roman" w:hAnsi="Times New Roman"/>
          <w:sz w:val="20"/>
          <w:szCs w:val="20"/>
        </w:rPr>
        <w:t>2,0</w:t>
      </w:r>
      <w:r w:rsidRPr="00C468CB"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z w:val="20"/>
          <w:szCs w:val="20"/>
        </w:rPr>
        <w:t xml:space="preserve"> (0,0 </w:t>
      </w:r>
      <w:proofErr w:type="spellStart"/>
      <w:r>
        <w:rPr>
          <w:rFonts w:ascii="Times New Roman" w:hAnsi="Times New Roman"/>
          <w:sz w:val="20"/>
          <w:szCs w:val="20"/>
        </w:rPr>
        <w:t>pp</w:t>
      </w:r>
      <w:proofErr w:type="spellEnd"/>
      <w:r>
        <w:rPr>
          <w:rFonts w:ascii="Times New Roman" w:hAnsi="Times New Roman"/>
          <w:sz w:val="20"/>
          <w:szCs w:val="20"/>
        </w:rPr>
        <w:t>)</w:t>
      </w:r>
      <w:r w:rsidRPr="00C468CB">
        <w:rPr>
          <w:rFonts w:ascii="Times New Roman" w:hAnsi="Times New Roman"/>
          <w:sz w:val="20"/>
          <w:szCs w:val="20"/>
        </w:rPr>
        <w:t>, 2,</w:t>
      </w:r>
      <w:r>
        <w:rPr>
          <w:rFonts w:ascii="Times New Roman" w:hAnsi="Times New Roman"/>
          <w:sz w:val="20"/>
          <w:szCs w:val="20"/>
        </w:rPr>
        <w:t>9</w:t>
      </w:r>
      <w:r w:rsidRPr="00C468CB">
        <w:rPr>
          <w:rFonts w:ascii="Times New Roman" w:hAnsi="Times New Roman"/>
          <w:sz w:val="20"/>
          <w:szCs w:val="20"/>
        </w:rPr>
        <w:t xml:space="preserve">% </w:t>
      </w:r>
      <w:r>
        <w:rPr>
          <w:rFonts w:ascii="Times New Roman" w:hAnsi="Times New Roman"/>
          <w:sz w:val="20"/>
          <w:szCs w:val="20"/>
        </w:rPr>
        <w:t xml:space="preserve">(0,0 </w:t>
      </w:r>
      <w:proofErr w:type="spellStart"/>
      <w:r>
        <w:rPr>
          <w:rFonts w:ascii="Times New Roman" w:hAnsi="Times New Roman"/>
          <w:sz w:val="20"/>
          <w:szCs w:val="20"/>
        </w:rPr>
        <w:t>pp</w:t>
      </w:r>
      <w:proofErr w:type="spellEnd"/>
      <w:r>
        <w:rPr>
          <w:rFonts w:ascii="Times New Roman" w:hAnsi="Times New Roman"/>
          <w:sz w:val="20"/>
          <w:szCs w:val="20"/>
        </w:rPr>
        <w:t>) oraz</w:t>
      </w:r>
      <w:r w:rsidRPr="00C468C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3,5</w:t>
      </w:r>
      <w:r w:rsidRPr="00C468CB">
        <w:rPr>
          <w:rFonts w:ascii="Times New Roman" w:hAnsi="Times New Roman"/>
          <w:sz w:val="20"/>
          <w:szCs w:val="20"/>
        </w:rPr>
        <w:t xml:space="preserve">% </w:t>
      </w:r>
      <w:r>
        <w:rPr>
          <w:rFonts w:ascii="Times New Roman" w:hAnsi="Times New Roman"/>
          <w:sz w:val="20"/>
          <w:szCs w:val="20"/>
        </w:rPr>
        <w:t xml:space="preserve">(-0,2 </w:t>
      </w:r>
      <w:proofErr w:type="spellStart"/>
      <w:r>
        <w:rPr>
          <w:rFonts w:ascii="Times New Roman" w:hAnsi="Times New Roman"/>
          <w:sz w:val="20"/>
          <w:szCs w:val="20"/>
        </w:rPr>
        <w:t>pp</w:t>
      </w:r>
      <w:proofErr w:type="spellEnd"/>
      <w:r>
        <w:rPr>
          <w:rFonts w:ascii="Times New Roman" w:hAnsi="Times New Roman"/>
          <w:sz w:val="20"/>
          <w:szCs w:val="20"/>
        </w:rPr>
        <w:t>),</w:t>
      </w:r>
    </w:p>
    <w:p w:rsidR="008C3CA5" w:rsidRDefault="008C3CA5" w:rsidP="008C3CA5">
      <w:pPr>
        <w:widowControl w:val="0"/>
        <w:numPr>
          <w:ilvl w:val="0"/>
          <w:numId w:val="1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na rynku obligacji </w:t>
      </w:r>
      <w:r w:rsidRPr="00C468CB">
        <w:rPr>
          <w:rFonts w:ascii="Times New Roman" w:hAnsi="Times New Roman"/>
          <w:sz w:val="20"/>
          <w:szCs w:val="20"/>
        </w:rPr>
        <w:t>w euro</w:t>
      </w:r>
      <w:r>
        <w:rPr>
          <w:rFonts w:ascii="Times New Roman" w:hAnsi="Times New Roman"/>
          <w:sz w:val="20"/>
          <w:szCs w:val="20"/>
        </w:rPr>
        <w:t xml:space="preserve">: spadki rentowności na krótkim końcu i środku krzywej dochodowości, stabilizacja na długim końcu: na koniec kwartału dla </w:t>
      </w:r>
      <w:r w:rsidRPr="00C468CB">
        <w:rPr>
          <w:rFonts w:ascii="Times New Roman" w:hAnsi="Times New Roman"/>
          <w:sz w:val="20"/>
          <w:szCs w:val="20"/>
        </w:rPr>
        <w:t>obligacji 2-,</w:t>
      </w:r>
      <w:r>
        <w:rPr>
          <w:rFonts w:ascii="Times New Roman" w:hAnsi="Times New Roman"/>
          <w:sz w:val="20"/>
          <w:szCs w:val="20"/>
        </w:rPr>
        <w:t> </w:t>
      </w:r>
      <w:r w:rsidRPr="00C468CB">
        <w:rPr>
          <w:rFonts w:ascii="Times New Roman" w:hAnsi="Times New Roman"/>
          <w:sz w:val="20"/>
          <w:szCs w:val="20"/>
        </w:rPr>
        <w:t>5-</w:t>
      </w:r>
      <w:r>
        <w:rPr>
          <w:rFonts w:ascii="Times New Roman" w:hAnsi="Times New Roman"/>
          <w:sz w:val="20"/>
          <w:szCs w:val="20"/>
        </w:rPr>
        <w:t> </w:t>
      </w:r>
      <w:r w:rsidRPr="00C468CB">
        <w:rPr>
          <w:rFonts w:ascii="Times New Roman" w:hAnsi="Times New Roman"/>
          <w:sz w:val="20"/>
          <w:szCs w:val="20"/>
        </w:rPr>
        <w:t>i 10-letnich</w:t>
      </w:r>
      <w:r>
        <w:rPr>
          <w:rFonts w:ascii="Times New Roman" w:hAnsi="Times New Roman"/>
          <w:sz w:val="20"/>
          <w:szCs w:val="20"/>
        </w:rPr>
        <w:t xml:space="preserve"> rentowności</w:t>
      </w:r>
      <w:r w:rsidRPr="00C468CB">
        <w:rPr>
          <w:rFonts w:ascii="Times New Roman" w:hAnsi="Times New Roman"/>
          <w:sz w:val="20"/>
          <w:szCs w:val="20"/>
        </w:rPr>
        <w:t xml:space="preserve"> wyniosły odpowie</w:t>
      </w:r>
      <w:r>
        <w:rPr>
          <w:rFonts w:ascii="Times New Roman" w:hAnsi="Times New Roman"/>
          <w:sz w:val="20"/>
          <w:szCs w:val="20"/>
        </w:rPr>
        <w:softHyphen/>
      </w:r>
      <w:r w:rsidRPr="00C468CB">
        <w:rPr>
          <w:rFonts w:ascii="Times New Roman" w:hAnsi="Times New Roman"/>
          <w:sz w:val="20"/>
          <w:szCs w:val="20"/>
        </w:rPr>
        <w:t xml:space="preserve">dnio </w:t>
      </w:r>
      <w:r>
        <w:rPr>
          <w:rFonts w:ascii="Times New Roman" w:hAnsi="Times New Roman"/>
          <w:sz w:val="20"/>
          <w:szCs w:val="20"/>
        </w:rPr>
        <w:t>-</w:t>
      </w:r>
      <w:r w:rsidRPr="00C468CB">
        <w:rPr>
          <w:rFonts w:ascii="Times New Roman" w:hAnsi="Times New Roman"/>
          <w:sz w:val="20"/>
          <w:szCs w:val="20"/>
        </w:rPr>
        <w:t>0,</w:t>
      </w:r>
      <w:r>
        <w:rPr>
          <w:rFonts w:ascii="Times New Roman" w:hAnsi="Times New Roman"/>
          <w:sz w:val="20"/>
          <w:szCs w:val="20"/>
        </w:rPr>
        <w:t>1</w:t>
      </w:r>
      <w:r w:rsidRPr="00C468CB">
        <w:rPr>
          <w:rFonts w:ascii="Times New Roman" w:hAnsi="Times New Roman"/>
          <w:sz w:val="20"/>
          <w:szCs w:val="20"/>
        </w:rPr>
        <w:t>%</w:t>
      </w:r>
      <w:r>
        <w:rPr>
          <w:rFonts w:ascii="Times New Roman" w:hAnsi="Times New Roman"/>
          <w:sz w:val="20"/>
          <w:szCs w:val="20"/>
        </w:rPr>
        <w:t xml:space="preserve"> (-0,1 </w:t>
      </w:r>
      <w:proofErr w:type="spellStart"/>
      <w:r>
        <w:rPr>
          <w:rFonts w:ascii="Times New Roman" w:hAnsi="Times New Roman"/>
          <w:sz w:val="20"/>
          <w:szCs w:val="20"/>
        </w:rPr>
        <w:t>pp</w:t>
      </w:r>
      <w:proofErr w:type="spellEnd"/>
      <w:r>
        <w:rPr>
          <w:rFonts w:ascii="Times New Roman" w:hAnsi="Times New Roman"/>
          <w:sz w:val="20"/>
          <w:szCs w:val="20"/>
        </w:rPr>
        <w:t>)</w:t>
      </w:r>
      <w:r w:rsidRPr="00C468CB">
        <w:rPr>
          <w:rFonts w:ascii="Times New Roman" w:hAnsi="Times New Roman"/>
          <w:sz w:val="20"/>
          <w:szCs w:val="20"/>
        </w:rPr>
        <w:t>, 0,</w:t>
      </w:r>
      <w:r>
        <w:rPr>
          <w:rFonts w:ascii="Times New Roman" w:hAnsi="Times New Roman"/>
          <w:sz w:val="20"/>
          <w:szCs w:val="20"/>
        </w:rPr>
        <w:t xml:space="preserve">3% </w:t>
      </w:r>
      <w:r w:rsidR="00894A57">
        <w:rPr>
          <w:rFonts w:ascii="Times New Roman" w:hAnsi="Times New Roman"/>
          <w:sz w:val="20"/>
          <w:szCs w:val="20"/>
        </w:rPr>
        <w:t xml:space="preserve">    </w:t>
      </w:r>
      <w:r>
        <w:rPr>
          <w:rFonts w:ascii="Times New Roman" w:hAnsi="Times New Roman"/>
          <w:sz w:val="20"/>
          <w:szCs w:val="20"/>
        </w:rPr>
        <w:t xml:space="preserve">(-0,1 </w:t>
      </w:r>
      <w:proofErr w:type="spellStart"/>
      <w:r>
        <w:rPr>
          <w:rFonts w:ascii="Times New Roman" w:hAnsi="Times New Roman"/>
          <w:sz w:val="20"/>
          <w:szCs w:val="20"/>
        </w:rPr>
        <w:t>pp</w:t>
      </w:r>
      <w:proofErr w:type="spellEnd"/>
      <w:r>
        <w:rPr>
          <w:rFonts w:ascii="Times New Roman" w:hAnsi="Times New Roman"/>
          <w:sz w:val="20"/>
          <w:szCs w:val="20"/>
        </w:rPr>
        <w:t>)</w:t>
      </w:r>
      <w:r w:rsidRPr="00C468C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oraz</w:t>
      </w:r>
      <w:r w:rsidRPr="00C468C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1,3</w:t>
      </w:r>
      <w:r w:rsidRPr="00C468CB">
        <w:rPr>
          <w:rFonts w:ascii="Times New Roman" w:hAnsi="Times New Roman"/>
          <w:sz w:val="20"/>
          <w:szCs w:val="20"/>
        </w:rPr>
        <w:t>% (</w:t>
      </w:r>
      <w:r>
        <w:rPr>
          <w:rFonts w:ascii="Times New Roman" w:hAnsi="Times New Roman"/>
          <w:sz w:val="20"/>
          <w:szCs w:val="20"/>
        </w:rPr>
        <w:t xml:space="preserve">0,0 </w:t>
      </w:r>
      <w:proofErr w:type="spellStart"/>
      <w:r>
        <w:rPr>
          <w:rFonts w:ascii="Times New Roman" w:hAnsi="Times New Roman"/>
          <w:sz w:val="20"/>
          <w:szCs w:val="20"/>
        </w:rPr>
        <w:t>pp</w:t>
      </w:r>
      <w:proofErr w:type="spellEnd"/>
      <w:r>
        <w:rPr>
          <w:rFonts w:ascii="Times New Roman" w:hAnsi="Times New Roman"/>
          <w:sz w:val="20"/>
          <w:szCs w:val="20"/>
        </w:rPr>
        <w:t xml:space="preserve">).  </w:t>
      </w:r>
    </w:p>
    <w:p w:rsidR="008C3CA5" w:rsidRPr="00D55FD4" w:rsidRDefault="008C3CA5" w:rsidP="00C94F32">
      <w:pPr>
        <w:widowControl w:val="0"/>
        <w:numPr>
          <w:ilvl w:val="0"/>
          <w:numId w:val="1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</w:p>
    <w:p w:rsidR="00D84F5D" w:rsidRDefault="00D84F5D" w:rsidP="00EC0826">
      <w:pPr>
        <w:widowControl w:val="0"/>
        <w:spacing w:after="120"/>
        <w:jc w:val="both"/>
        <w:rPr>
          <w:rFonts w:ascii="Arial" w:hAnsi="Arial" w:cs="Arial"/>
          <w:sz w:val="18"/>
          <w:szCs w:val="18"/>
        </w:rPr>
        <w:sectPr w:rsidR="00D84F5D" w:rsidSect="005725A7">
          <w:headerReference w:type="first" r:id="rId18"/>
          <w:pgSz w:w="11907" w:h="16839" w:code="9"/>
          <w:pgMar w:top="1701" w:right="992" w:bottom="1418" w:left="1134" w:header="709" w:footer="975" w:gutter="0"/>
          <w:cols w:num="2" w:space="709"/>
          <w:titlePg/>
          <w:docGrid w:linePitch="360"/>
        </w:sectPr>
      </w:pPr>
    </w:p>
    <w:p w:rsidR="003262D7" w:rsidRPr="003262D7" w:rsidRDefault="003262D7" w:rsidP="003262D7">
      <w:pPr>
        <w:pStyle w:val="Nagwek1"/>
        <w:spacing w:after="240"/>
        <w:rPr>
          <w:rFonts w:ascii="Arial" w:hAnsi="Arial" w:cs="Arial"/>
          <w:bCs w:val="0"/>
          <w:color w:val="E31837"/>
          <w:kern w:val="0"/>
          <w:sz w:val="28"/>
          <w:szCs w:val="28"/>
        </w:rPr>
      </w:pPr>
      <w:bookmarkStart w:id="10" w:name="_Toc488656168"/>
      <w:r w:rsidRPr="003262D7">
        <w:rPr>
          <w:rFonts w:ascii="Arial" w:hAnsi="Arial" w:cs="Arial"/>
          <w:bCs w:val="0"/>
          <w:color w:val="E31837"/>
          <w:kern w:val="0"/>
          <w:sz w:val="28"/>
          <w:szCs w:val="28"/>
        </w:rPr>
        <w:lastRenderedPageBreak/>
        <w:t>NO</w:t>
      </w:r>
      <w:r w:rsidRPr="00D1237C">
        <w:rPr>
          <w:rFonts w:ascii="Arial" w:hAnsi="Arial" w:cs="Arial"/>
          <w:bCs w:val="0"/>
          <w:color w:val="E31837"/>
          <w:kern w:val="0"/>
          <w:sz w:val="28"/>
          <w:szCs w:val="28"/>
        </w:rPr>
        <w:t xml:space="preserve">TA </w:t>
      </w:r>
      <w:r w:rsidRPr="003262D7">
        <w:rPr>
          <w:rFonts w:ascii="Arial" w:hAnsi="Arial" w:cs="Arial"/>
          <w:bCs w:val="0"/>
          <w:color w:val="E31837"/>
          <w:kern w:val="0"/>
          <w:sz w:val="28"/>
          <w:szCs w:val="28"/>
        </w:rPr>
        <w:t>METODYCZNA</w:t>
      </w:r>
      <w:bookmarkEnd w:id="10"/>
    </w:p>
    <w:p w:rsidR="003262D7" w:rsidRPr="00D1237C" w:rsidRDefault="003262D7" w:rsidP="00975613">
      <w:pPr>
        <w:widowControl w:val="0"/>
        <w:autoSpaceDE w:val="0"/>
        <w:autoSpaceDN w:val="0"/>
        <w:adjustRightInd w:val="0"/>
        <w:spacing w:before="360" w:after="120" w:line="360" w:lineRule="auto"/>
        <w:jc w:val="both"/>
        <w:rPr>
          <w:rFonts w:ascii="Arial" w:hAnsi="Arial" w:cs="Arial"/>
          <w:b/>
          <w:color w:val="E31837"/>
          <w:sz w:val="24"/>
          <w:szCs w:val="24"/>
        </w:rPr>
      </w:pPr>
      <w:r w:rsidRPr="00D1237C">
        <w:rPr>
          <w:rFonts w:ascii="Arial" w:hAnsi="Arial" w:cs="Arial"/>
          <w:b/>
          <w:color w:val="E31837"/>
          <w:sz w:val="24"/>
          <w:szCs w:val="24"/>
        </w:rPr>
        <w:t>Budżet państwa</w:t>
      </w:r>
    </w:p>
    <w:p w:rsidR="003262D7" w:rsidRPr="007837F6" w:rsidRDefault="003262D7" w:rsidP="009756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0"/>
          <w:szCs w:val="20"/>
        </w:rPr>
      </w:pPr>
      <w:r w:rsidRPr="007837F6">
        <w:rPr>
          <w:rFonts w:ascii="Arial" w:hAnsi="Arial" w:cs="Arial"/>
          <w:b/>
          <w:color w:val="ADAFB2"/>
          <w:sz w:val="20"/>
          <w:szCs w:val="20"/>
        </w:rPr>
        <w:t>Dane o budżecie państwa prezentowane są zgodnie z krajową metodol</w:t>
      </w:r>
      <w:r>
        <w:rPr>
          <w:rFonts w:ascii="Arial" w:hAnsi="Arial" w:cs="Arial"/>
          <w:b/>
          <w:color w:val="ADAFB2"/>
          <w:sz w:val="20"/>
          <w:szCs w:val="20"/>
        </w:rPr>
        <w:t>ogią, tj. w układzie kasowym (z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>pewnymi wyjątkami) i  zgodnie z definicjami przejętymi w Ustaw</w:t>
      </w:r>
      <w:r>
        <w:rPr>
          <w:rFonts w:ascii="Arial" w:hAnsi="Arial" w:cs="Arial"/>
          <w:b/>
          <w:color w:val="ADAFB2"/>
          <w:sz w:val="20"/>
          <w:szCs w:val="20"/>
        </w:rPr>
        <w:t>ie z dnia 27 sierpnia 2009 r. o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 xml:space="preserve">finansach publicznych (tekst jednolity Dz.U. z 2013 poz. 885 z </w:t>
      </w:r>
      <w:proofErr w:type="spellStart"/>
      <w:r w:rsidRPr="007837F6">
        <w:rPr>
          <w:rFonts w:ascii="Arial" w:hAnsi="Arial" w:cs="Arial"/>
          <w:b/>
          <w:color w:val="ADAFB2"/>
          <w:sz w:val="20"/>
          <w:szCs w:val="20"/>
        </w:rPr>
        <w:t>późn</w:t>
      </w:r>
      <w:proofErr w:type="spellEnd"/>
      <w:r w:rsidRPr="007837F6">
        <w:rPr>
          <w:rFonts w:ascii="Arial" w:hAnsi="Arial" w:cs="Arial"/>
          <w:b/>
          <w:color w:val="ADAFB2"/>
          <w:sz w:val="20"/>
          <w:szCs w:val="20"/>
        </w:rPr>
        <w:t>. zm.):</w:t>
      </w:r>
    </w:p>
    <w:p w:rsidR="003262D7" w:rsidRPr="007837F6" w:rsidRDefault="007F6D0C" w:rsidP="00975613">
      <w:pPr>
        <w:widowControl w:val="0"/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  <w:b/>
          <w:color w:val="ADAFB2"/>
          <w:sz w:val="20"/>
          <w:szCs w:val="20"/>
        </w:rPr>
      </w:pPr>
      <w:hyperlink r:id="rId19" w:history="1">
        <w:r w:rsidR="003262D7" w:rsidRPr="00C94AA6">
          <w:rPr>
            <w:rStyle w:val="Hipercze"/>
            <w:rFonts w:ascii="Arial" w:hAnsi="Arial" w:cs="Arial"/>
            <w:b/>
            <w:sz w:val="20"/>
            <w:szCs w:val="20"/>
          </w:rPr>
          <w:t>http://isap.sejm.gov.pl/DetailsServlet?id=WDU20091571240</w:t>
        </w:r>
      </w:hyperlink>
    </w:p>
    <w:p w:rsidR="003262D7" w:rsidRPr="00D1237C" w:rsidRDefault="003262D7" w:rsidP="00975613">
      <w:pPr>
        <w:widowControl w:val="0"/>
        <w:autoSpaceDE w:val="0"/>
        <w:autoSpaceDN w:val="0"/>
        <w:adjustRightInd w:val="0"/>
        <w:spacing w:before="360" w:after="0" w:line="360" w:lineRule="auto"/>
        <w:jc w:val="both"/>
        <w:rPr>
          <w:rFonts w:ascii="Arial" w:hAnsi="Arial" w:cs="Arial"/>
          <w:b/>
          <w:color w:val="E31837"/>
          <w:sz w:val="24"/>
          <w:szCs w:val="24"/>
        </w:rPr>
      </w:pPr>
      <w:r w:rsidRPr="00D1237C">
        <w:rPr>
          <w:rFonts w:ascii="Arial" w:hAnsi="Arial" w:cs="Arial"/>
          <w:b/>
          <w:color w:val="E31837"/>
          <w:sz w:val="24"/>
          <w:szCs w:val="24"/>
        </w:rPr>
        <w:t xml:space="preserve">Szczebel centralny według metodologii GFSM2001 </w:t>
      </w:r>
    </w:p>
    <w:p w:rsidR="003262D7" w:rsidRDefault="003262D7" w:rsidP="00975613">
      <w:pPr>
        <w:widowControl w:val="0"/>
        <w:autoSpaceDE w:val="0"/>
        <w:autoSpaceDN w:val="0"/>
        <w:adjustRightInd w:val="0"/>
        <w:spacing w:before="120" w:after="0" w:line="360" w:lineRule="auto"/>
        <w:jc w:val="both"/>
        <w:rPr>
          <w:rFonts w:ascii="Arial" w:hAnsi="Arial" w:cs="Arial"/>
          <w:b/>
          <w:color w:val="ADAFB2"/>
          <w:sz w:val="20"/>
          <w:szCs w:val="20"/>
        </w:rPr>
      </w:pPr>
      <w:r w:rsidRPr="007837F6">
        <w:rPr>
          <w:rFonts w:ascii="Arial" w:hAnsi="Arial" w:cs="Arial"/>
          <w:b/>
          <w:color w:val="ADAFB2"/>
          <w:sz w:val="20"/>
          <w:szCs w:val="20"/>
        </w:rPr>
        <w:t>Metodologia GFSM2001 została opracowana przez Międzynarodowy Fundusz Walutowy. Szczebel centralny stanowi jeden z dwóch szczebli sektora instytucji rządowych i samorządowych (drugim jest szczebel lokalny). Szczebel centralny obejmuje budżet państwa, jednostki działające poza budżetem państwa oraz fundusze ubezpieczeń społecznych. Dane w</w:t>
      </w:r>
      <w:r>
        <w:rPr>
          <w:rFonts w:ascii="Arial" w:hAnsi="Arial" w:cs="Arial"/>
          <w:b/>
          <w:color w:val="ADAFB2"/>
          <w:sz w:val="20"/>
          <w:szCs w:val="20"/>
        </w:rPr>
        <w:t>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>niniejszej informacji obejmują niepełny zakres szczebla centralnego (są jednak wystarczające do oceny jego sytuacji finansowej, stanowią ok. 80% jego skonsolidowanych wydatków), tj. budżet państwa, Fundusz Ubezpieczeń Społecznych (FUS), Fundusz Emerytalno-Rentowy (FER), Fundusz Pracy (FP) oraz Narodowy Fundusz Zdrowia (NFZ). Dane o</w:t>
      </w:r>
      <w:r>
        <w:rPr>
          <w:rFonts w:ascii="Arial" w:hAnsi="Arial" w:cs="Arial"/>
          <w:b/>
          <w:color w:val="ADAFB2"/>
          <w:sz w:val="20"/>
          <w:szCs w:val="20"/>
        </w:rPr>
        <w:t>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 xml:space="preserve">szczeblu centralnym prezentowane są w ujęciu kasowym oraz po eliminacji wewnętrznych przepływów. </w:t>
      </w:r>
      <w:r>
        <w:rPr>
          <w:rFonts w:ascii="Arial" w:hAnsi="Arial" w:cs="Arial"/>
          <w:b/>
          <w:color w:val="ADAFB2"/>
          <w:sz w:val="20"/>
          <w:szCs w:val="20"/>
        </w:rPr>
        <w:t xml:space="preserve"> </w:t>
      </w:r>
    </w:p>
    <w:p w:rsidR="003262D7" w:rsidRPr="007837F6" w:rsidRDefault="003262D7" w:rsidP="00975613">
      <w:pPr>
        <w:widowControl w:val="0"/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  <w:b/>
          <w:color w:val="ADAFB2"/>
          <w:sz w:val="20"/>
          <w:szCs w:val="20"/>
        </w:rPr>
      </w:pPr>
      <w:r>
        <w:rPr>
          <w:rFonts w:ascii="Arial" w:hAnsi="Arial" w:cs="Arial"/>
          <w:b/>
          <w:color w:val="ADAFB2"/>
          <w:sz w:val="20"/>
          <w:szCs w:val="20"/>
        </w:rPr>
        <w:t xml:space="preserve">Więcej </w:t>
      </w:r>
      <w:r w:rsidRPr="007837F6">
        <w:rPr>
          <w:rFonts w:ascii="Arial" w:hAnsi="Arial" w:cs="Arial"/>
          <w:b/>
          <w:color w:val="ADAFB2"/>
          <w:sz w:val="20"/>
          <w:szCs w:val="20"/>
        </w:rPr>
        <w:t>na:</w:t>
      </w:r>
      <w:r>
        <w:rPr>
          <w:rFonts w:ascii="Arial" w:hAnsi="Arial" w:cs="Arial"/>
          <w:b/>
          <w:color w:val="ADAFB2"/>
          <w:sz w:val="20"/>
          <w:szCs w:val="20"/>
        </w:rPr>
        <w:t xml:space="preserve"> </w:t>
      </w:r>
      <w:hyperlink r:id="rId20" w:history="1">
        <w:r w:rsidRPr="00C94AA6">
          <w:rPr>
            <w:rStyle w:val="Hipercze"/>
            <w:rFonts w:ascii="Arial" w:hAnsi="Arial" w:cs="Arial"/>
            <w:b/>
            <w:sz w:val="20"/>
            <w:szCs w:val="20"/>
          </w:rPr>
          <w:t>http://www.mf.gov.pl/documents/764034/1002148/metodologia+wersja+polska2001.pdf</w:t>
        </w:r>
      </w:hyperlink>
    </w:p>
    <w:p w:rsidR="003262D7" w:rsidRPr="00D1237C" w:rsidRDefault="003262D7" w:rsidP="006652E2">
      <w:pPr>
        <w:widowControl w:val="0"/>
        <w:autoSpaceDE w:val="0"/>
        <w:autoSpaceDN w:val="0"/>
        <w:adjustRightInd w:val="0"/>
        <w:spacing w:before="360" w:after="120" w:line="360" w:lineRule="auto"/>
        <w:jc w:val="both"/>
        <w:rPr>
          <w:rFonts w:ascii="Arial" w:hAnsi="Arial" w:cs="Arial"/>
          <w:b/>
          <w:color w:val="E31837"/>
          <w:sz w:val="24"/>
          <w:szCs w:val="24"/>
        </w:rPr>
      </w:pPr>
      <w:r w:rsidRPr="00D1237C">
        <w:rPr>
          <w:rFonts w:ascii="Arial" w:hAnsi="Arial" w:cs="Arial"/>
          <w:b/>
          <w:color w:val="E31837"/>
          <w:sz w:val="24"/>
          <w:szCs w:val="24"/>
        </w:rPr>
        <w:t xml:space="preserve">Sektor instytucji rządowych i samorządowych wg ESA2010 </w:t>
      </w:r>
    </w:p>
    <w:p w:rsidR="003262D7" w:rsidRPr="007837F6" w:rsidRDefault="003262D7" w:rsidP="009756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0"/>
          <w:szCs w:val="20"/>
        </w:rPr>
      </w:pPr>
      <w:r w:rsidRPr="007837F6">
        <w:rPr>
          <w:rFonts w:ascii="Arial" w:hAnsi="Arial" w:cs="Arial"/>
          <w:b/>
          <w:color w:val="ADAFB2"/>
          <w:sz w:val="20"/>
          <w:szCs w:val="20"/>
        </w:rPr>
        <w:t>Od września 2014 r. obowiązuje nowy europejski system rachunków narodowych i regionalnych ESA2010,</w:t>
      </w:r>
      <w:r>
        <w:rPr>
          <w:rFonts w:ascii="Arial" w:hAnsi="Arial" w:cs="Arial"/>
          <w:b/>
          <w:color w:val="ADAFB2"/>
          <w:sz w:val="20"/>
          <w:szCs w:val="20"/>
        </w:rPr>
        <w:t xml:space="preserve"> zgodnie z Rozporządzeniem PE i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 xml:space="preserve">Rady UE nr 549/2013 z dnia 21 maja 2013 r. Zakres sektora instytucji rządowych i samorządowych wg ESA2010 jest tożsamy z zakresem tego sektora wg GFSM2001. Obejmuje on trzy podsektory: dwa z nich: podsektor instytucji rządowych na szczeblu centralnym oraz podsektor funduszy ubezpieczeń społecznych odpowiadają zakresowi szczebla centralnego wg GFSM2001, a pozostałym jest podsektor instytucji samorządowych na szczeblu lokalnym. Dane ESA2010 </w:t>
      </w:r>
      <w:r>
        <w:rPr>
          <w:rFonts w:ascii="Arial" w:hAnsi="Arial" w:cs="Arial"/>
          <w:b/>
          <w:color w:val="ADAFB2"/>
          <w:sz w:val="20"/>
          <w:szCs w:val="20"/>
        </w:rPr>
        <w:t>są prezentowane, podobnie jak w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>GFSM2001, po eliminacji wewnętrznych przepływów, jednak różnią się od danych GFSM2001 odmienną koncepcją rachunkową (są to dane memoriałowe, z pewnymi dostosowaniami) oraz odmienną klasyfikacją niektórych transakcji. Deficyt</w:t>
      </w:r>
      <w:r>
        <w:rPr>
          <w:rFonts w:ascii="Arial" w:hAnsi="Arial" w:cs="Arial"/>
          <w:b/>
          <w:color w:val="ADAFB2"/>
          <w:sz w:val="20"/>
          <w:szCs w:val="20"/>
        </w:rPr>
        <w:t xml:space="preserve"> sektora instytucji rządowych i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>samorządowych obliczony wedłu</w:t>
      </w:r>
      <w:r>
        <w:rPr>
          <w:rFonts w:ascii="Arial" w:hAnsi="Arial" w:cs="Arial"/>
          <w:b/>
          <w:color w:val="ADAFB2"/>
          <w:sz w:val="20"/>
          <w:szCs w:val="20"/>
        </w:rPr>
        <w:t>g zasad ESA2010 stanowi jeden z </w:t>
      </w:r>
      <w:r w:rsidRPr="007837F6">
        <w:rPr>
          <w:rFonts w:ascii="Arial" w:hAnsi="Arial" w:cs="Arial"/>
          <w:b/>
          <w:color w:val="ADAFB2"/>
          <w:sz w:val="20"/>
          <w:szCs w:val="20"/>
        </w:rPr>
        <w:t>elementów kryterium fiskaln</w:t>
      </w:r>
      <w:r w:rsidR="00A82C2A">
        <w:rPr>
          <w:rFonts w:ascii="Arial" w:hAnsi="Arial" w:cs="Arial"/>
          <w:b/>
          <w:color w:val="ADAFB2"/>
          <w:sz w:val="20"/>
          <w:szCs w:val="20"/>
        </w:rPr>
        <w:t xml:space="preserve">ego z </w:t>
      </w:r>
      <w:proofErr w:type="spellStart"/>
      <w:r w:rsidR="00A82C2A">
        <w:rPr>
          <w:rFonts w:ascii="Arial" w:hAnsi="Arial" w:cs="Arial"/>
          <w:b/>
          <w:color w:val="ADAFB2"/>
          <w:sz w:val="20"/>
          <w:szCs w:val="20"/>
        </w:rPr>
        <w:t>Maastricht</w:t>
      </w:r>
      <w:proofErr w:type="spellEnd"/>
      <w:r w:rsidR="00A82C2A">
        <w:rPr>
          <w:rFonts w:ascii="Arial" w:hAnsi="Arial" w:cs="Arial"/>
          <w:b/>
          <w:color w:val="ADAFB2"/>
          <w:sz w:val="20"/>
          <w:szCs w:val="20"/>
        </w:rPr>
        <w:t xml:space="preserve"> (drugim jest dł</w:t>
      </w:r>
      <w:r w:rsidRPr="007837F6">
        <w:rPr>
          <w:rFonts w:ascii="Arial" w:hAnsi="Arial" w:cs="Arial"/>
          <w:b/>
          <w:color w:val="ADAFB2"/>
          <w:sz w:val="20"/>
          <w:szCs w:val="20"/>
        </w:rPr>
        <w:t>ug tego sektora).</w:t>
      </w:r>
    </w:p>
    <w:p w:rsidR="003262D7" w:rsidRPr="007837F6" w:rsidRDefault="003262D7" w:rsidP="009756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ADAFB2"/>
          <w:sz w:val="20"/>
          <w:szCs w:val="20"/>
        </w:rPr>
      </w:pPr>
      <w:r w:rsidRPr="007837F6">
        <w:rPr>
          <w:rFonts w:ascii="Arial" w:hAnsi="Arial" w:cs="Arial"/>
          <w:b/>
          <w:color w:val="ADAFB2"/>
          <w:sz w:val="20"/>
          <w:szCs w:val="20"/>
        </w:rPr>
        <w:t>Rozporządzenie dostępne</w:t>
      </w:r>
      <w:r w:rsidRPr="007837F6">
        <w:rPr>
          <w:rFonts w:ascii="Arial" w:hAnsi="Arial" w:cs="Arial"/>
          <w:b/>
          <w:color w:val="ADAFB2"/>
          <w:sz w:val="24"/>
          <w:szCs w:val="24"/>
        </w:rPr>
        <w:t>:</w:t>
      </w:r>
      <w:r>
        <w:rPr>
          <w:rFonts w:ascii="Arial" w:hAnsi="Arial" w:cs="Arial"/>
          <w:b/>
          <w:color w:val="ADAFB2"/>
          <w:sz w:val="24"/>
          <w:szCs w:val="24"/>
        </w:rPr>
        <w:t xml:space="preserve"> </w:t>
      </w:r>
      <w:hyperlink r:id="rId21" w:history="1">
        <w:r w:rsidRPr="00442CC9">
          <w:rPr>
            <w:rStyle w:val="Hipercze"/>
            <w:rFonts w:ascii="Arial" w:hAnsi="Arial" w:cs="Arial"/>
            <w:b/>
            <w:sz w:val="20"/>
            <w:szCs w:val="20"/>
          </w:rPr>
          <w:t>http://stat.gov.pl/obszary-tematyczne/rachunki-narodowe/europejski-system-rachunkow-narodowych-i-regionalnych-esa-2010/rozporzadzenie-parlamentu-europejskiego-i-rady-ue-nr-5492013-z-dnia-21-maja-2013-r-,1,1.html</w:t>
        </w:r>
      </w:hyperlink>
      <w:r w:rsidRPr="007837F6">
        <w:rPr>
          <w:rFonts w:ascii="Arial" w:hAnsi="Arial" w:cs="Arial"/>
          <w:b/>
          <w:color w:val="ADAFB2"/>
          <w:sz w:val="20"/>
          <w:szCs w:val="20"/>
        </w:rPr>
        <w:t>.</w:t>
      </w:r>
      <w:r>
        <w:rPr>
          <w:rFonts w:ascii="Arial" w:hAnsi="Arial" w:cs="Arial"/>
          <w:b/>
          <w:color w:val="ADAFB2"/>
          <w:sz w:val="20"/>
          <w:szCs w:val="20"/>
        </w:rPr>
        <w:t xml:space="preserve"> </w:t>
      </w:r>
    </w:p>
    <w:p w:rsidR="003262D7" w:rsidRDefault="003262D7" w:rsidP="003262D7">
      <w:pPr>
        <w:widowControl w:val="0"/>
        <w:autoSpaceDE w:val="0"/>
        <w:autoSpaceDN w:val="0"/>
        <w:adjustRightInd w:val="0"/>
        <w:spacing w:before="240" w:after="280" w:line="360" w:lineRule="auto"/>
        <w:jc w:val="both"/>
        <w:rPr>
          <w:rFonts w:ascii="Arial" w:hAnsi="Arial" w:cs="Arial"/>
          <w:sz w:val="18"/>
          <w:szCs w:val="18"/>
        </w:rPr>
      </w:pPr>
    </w:p>
    <w:p w:rsidR="005B7F4B" w:rsidRDefault="005B7F4B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</w:p>
    <w:p w:rsidR="00804DD1" w:rsidRDefault="00804DD1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</w:p>
    <w:p w:rsidR="00C2261E" w:rsidRDefault="000404D4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-457200</wp:posOffset>
            </wp:positionV>
            <wp:extent cx="802640" cy="767715"/>
            <wp:effectExtent l="0" t="0" r="0" b="0"/>
            <wp:wrapNone/>
            <wp:docPr id="9" name="Picture 0" descr="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1E" w:rsidRDefault="00C2261E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</w:p>
    <w:p w:rsidR="005B7F4B" w:rsidRDefault="005B7F4B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</w:p>
    <w:p w:rsidR="00EB6D6D" w:rsidRDefault="00EB6D6D" w:rsidP="00241B7D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sz w:val="18"/>
          <w:szCs w:val="18"/>
        </w:rPr>
      </w:pPr>
    </w:p>
    <w:p w:rsidR="005B7F4B" w:rsidRDefault="005B7F4B" w:rsidP="00A3676D">
      <w:pPr>
        <w:pStyle w:val="Nagwek1"/>
        <w:jc w:val="center"/>
        <w:rPr>
          <w:rFonts w:ascii="Arial" w:hAnsi="Arial" w:cs="Arial"/>
          <w:color w:val="E31837"/>
          <w:sz w:val="40"/>
          <w:szCs w:val="40"/>
        </w:rPr>
      </w:pPr>
      <w:bookmarkStart w:id="11" w:name="_Toc488656169"/>
      <w:r w:rsidRPr="00A3676D">
        <w:rPr>
          <w:rFonts w:ascii="Arial" w:hAnsi="Arial" w:cs="Arial"/>
          <w:color w:val="E31837"/>
          <w:sz w:val="40"/>
          <w:szCs w:val="40"/>
        </w:rPr>
        <w:t xml:space="preserve">ANEKS </w:t>
      </w:r>
      <w:r w:rsidR="00A3676D" w:rsidRPr="00A3676D">
        <w:rPr>
          <w:rFonts w:ascii="Arial" w:hAnsi="Arial" w:cs="Arial"/>
          <w:color w:val="E31837"/>
          <w:sz w:val="40"/>
          <w:szCs w:val="40"/>
        </w:rPr>
        <w:t xml:space="preserve"> </w:t>
      </w:r>
      <w:r w:rsidRPr="00A3676D">
        <w:rPr>
          <w:rFonts w:ascii="Arial" w:hAnsi="Arial" w:cs="Arial"/>
          <w:color w:val="E31837"/>
          <w:sz w:val="40"/>
          <w:szCs w:val="40"/>
        </w:rPr>
        <w:t>STATYSTYCZNY</w:t>
      </w:r>
      <w:bookmarkEnd w:id="11"/>
      <w:r w:rsidR="009F1CD8">
        <w:rPr>
          <w:rFonts w:ascii="Arial" w:hAnsi="Arial" w:cs="Arial"/>
          <w:color w:val="E31837"/>
          <w:sz w:val="40"/>
          <w:szCs w:val="40"/>
        </w:rPr>
        <w:t xml:space="preserve"> </w:t>
      </w:r>
      <w:r w:rsidR="00A10DA3">
        <w:rPr>
          <w:rFonts w:ascii="Arial" w:hAnsi="Arial" w:cs="Arial"/>
          <w:color w:val="E31837"/>
          <w:sz w:val="40"/>
          <w:szCs w:val="40"/>
        </w:rPr>
        <w:br/>
      </w:r>
    </w:p>
    <w:p w:rsidR="00E120D2" w:rsidRDefault="00E120D2" w:rsidP="00E120D2"/>
    <w:p w:rsidR="00E120D2" w:rsidRPr="00E120D2" w:rsidRDefault="00E120D2" w:rsidP="00E120D2"/>
    <w:p w:rsidR="00E120D2" w:rsidRPr="009567F0" w:rsidRDefault="00E120D2" w:rsidP="009567F0"/>
    <w:p w:rsidR="009567F0" w:rsidRDefault="009567F0" w:rsidP="009567F0">
      <w:pPr>
        <w:widowControl w:val="0"/>
        <w:autoSpaceDE w:val="0"/>
        <w:autoSpaceDN w:val="0"/>
        <w:adjustRightInd w:val="0"/>
        <w:spacing w:after="280" w:line="360" w:lineRule="auto"/>
        <w:rPr>
          <w:rFonts w:ascii="Arial" w:hAnsi="Arial" w:cs="Arial"/>
          <w:b/>
          <w:color w:val="E31837"/>
          <w:sz w:val="28"/>
          <w:szCs w:val="28"/>
        </w:rPr>
      </w:pPr>
      <w:r w:rsidRPr="00D80F1C">
        <w:rPr>
          <w:rFonts w:ascii="Arial" w:hAnsi="Arial" w:cs="Arial"/>
          <w:b/>
          <w:color w:val="E31837"/>
          <w:sz w:val="28"/>
          <w:szCs w:val="28"/>
        </w:rPr>
        <w:t>SPIS T</w:t>
      </w:r>
      <w:r w:rsidR="009F1CD8">
        <w:rPr>
          <w:rFonts w:ascii="Arial" w:hAnsi="Arial" w:cs="Arial"/>
          <w:b/>
          <w:color w:val="E31837"/>
          <w:sz w:val="28"/>
          <w:szCs w:val="28"/>
        </w:rPr>
        <w:t>ABLIC</w:t>
      </w:r>
    </w:p>
    <w:p w:rsidR="009567F0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Tablica 1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</w:r>
      <w:r w:rsidR="009567F0" w:rsidRPr="007910F9">
        <w:rPr>
          <w:rFonts w:ascii="Arial" w:hAnsi="Arial" w:cs="Arial"/>
          <w:b/>
          <w:color w:val="ADAFB2"/>
          <w:sz w:val="20"/>
          <w:szCs w:val="20"/>
        </w:rPr>
        <w:t>Podstawowe wskaźniki makroekonomiczne</w:t>
      </w:r>
    </w:p>
    <w:p w:rsidR="009567F0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Tablice 2</w:t>
      </w:r>
      <w:r w:rsidR="007910F9">
        <w:rPr>
          <w:rFonts w:ascii="Arial" w:hAnsi="Arial" w:cs="Arial"/>
          <w:b/>
          <w:color w:val="ADAFB2"/>
          <w:sz w:val="20"/>
          <w:szCs w:val="20"/>
        </w:rPr>
        <w:t xml:space="preserve">- </w:t>
      </w:r>
      <w:r w:rsidRPr="007910F9">
        <w:rPr>
          <w:rFonts w:ascii="Arial" w:hAnsi="Arial" w:cs="Arial"/>
          <w:b/>
          <w:color w:val="ADAFB2"/>
          <w:sz w:val="20"/>
          <w:szCs w:val="20"/>
        </w:rPr>
        <w:t>5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</w:r>
      <w:r w:rsidR="009567F0" w:rsidRPr="007910F9">
        <w:rPr>
          <w:rFonts w:ascii="Arial" w:hAnsi="Arial" w:cs="Arial"/>
          <w:b/>
          <w:color w:val="ADAFB2"/>
          <w:sz w:val="20"/>
          <w:szCs w:val="20"/>
        </w:rPr>
        <w:t>Podstawowe dane z zakresu finansów publicznych (wg. ESA</w:t>
      </w:r>
      <w:r w:rsidRPr="007910F9">
        <w:rPr>
          <w:rFonts w:ascii="Arial" w:hAnsi="Arial" w:cs="Arial"/>
          <w:b/>
          <w:color w:val="ADAFB2"/>
          <w:sz w:val="20"/>
          <w:szCs w:val="20"/>
        </w:rPr>
        <w:t xml:space="preserve"> </w:t>
      </w:r>
      <w:r w:rsidR="009567F0" w:rsidRPr="007910F9">
        <w:rPr>
          <w:rFonts w:ascii="Arial" w:hAnsi="Arial" w:cs="Arial"/>
          <w:b/>
          <w:color w:val="ADAFB2"/>
          <w:sz w:val="20"/>
          <w:szCs w:val="20"/>
        </w:rPr>
        <w:t>2010) sektor instytucji rządowych i samorządowych</w:t>
      </w:r>
    </w:p>
    <w:p w:rsidR="009567F0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Tablice 6</w:t>
      </w:r>
      <w:r w:rsidR="007910F9">
        <w:rPr>
          <w:rFonts w:ascii="Arial" w:hAnsi="Arial" w:cs="Arial"/>
          <w:b/>
          <w:color w:val="ADAFB2"/>
          <w:sz w:val="20"/>
          <w:szCs w:val="20"/>
        </w:rPr>
        <w:t xml:space="preserve">- </w:t>
      </w:r>
      <w:r w:rsidRPr="007910F9">
        <w:rPr>
          <w:rFonts w:ascii="Arial" w:hAnsi="Arial" w:cs="Arial"/>
          <w:b/>
          <w:color w:val="ADAFB2"/>
          <w:sz w:val="20"/>
          <w:szCs w:val="20"/>
        </w:rPr>
        <w:t>9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</w:r>
      <w:r w:rsidR="009567F0" w:rsidRPr="007910F9">
        <w:rPr>
          <w:rFonts w:ascii="Arial" w:hAnsi="Arial" w:cs="Arial"/>
          <w:b/>
          <w:color w:val="ADAFB2"/>
          <w:sz w:val="20"/>
          <w:szCs w:val="20"/>
        </w:rPr>
        <w:t>Podstawowe dane z zakresu finansów publicznych (wg. sprawozdawczości krajowej) budżet państwa</w:t>
      </w:r>
    </w:p>
    <w:p w:rsidR="009567F0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Tablice 10</w:t>
      </w:r>
      <w:r w:rsidR="007910F9">
        <w:rPr>
          <w:rFonts w:ascii="Arial" w:hAnsi="Arial" w:cs="Arial"/>
          <w:b/>
          <w:color w:val="ADAFB2"/>
          <w:sz w:val="20"/>
          <w:szCs w:val="20"/>
        </w:rPr>
        <w:t>- 1</w:t>
      </w:r>
      <w:r w:rsidRPr="007910F9">
        <w:rPr>
          <w:rFonts w:ascii="Arial" w:hAnsi="Arial" w:cs="Arial"/>
          <w:b/>
          <w:color w:val="ADAFB2"/>
          <w:sz w:val="20"/>
          <w:szCs w:val="20"/>
        </w:rPr>
        <w:t>6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</w:r>
      <w:r w:rsidR="009567F0" w:rsidRPr="007910F9">
        <w:rPr>
          <w:rFonts w:ascii="Arial" w:hAnsi="Arial" w:cs="Arial"/>
          <w:b/>
          <w:color w:val="ADAFB2"/>
          <w:sz w:val="20"/>
          <w:szCs w:val="20"/>
        </w:rPr>
        <w:t xml:space="preserve">Podstawowe dane z zakresu finansów publicznych - Państwowe fundusze celowe </w:t>
      </w:r>
    </w:p>
    <w:p w:rsidR="009567F0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Tablice 17</w:t>
      </w:r>
      <w:r w:rsidR="007910F9">
        <w:rPr>
          <w:rFonts w:ascii="Arial" w:hAnsi="Arial" w:cs="Arial"/>
          <w:b/>
          <w:color w:val="ADAFB2"/>
          <w:sz w:val="20"/>
          <w:szCs w:val="20"/>
        </w:rPr>
        <w:t xml:space="preserve">- </w:t>
      </w:r>
      <w:r w:rsidRPr="007910F9">
        <w:rPr>
          <w:rFonts w:ascii="Arial" w:hAnsi="Arial" w:cs="Arial"/>
          <w:b/>
          <w:color w:val="ADAFB2"/>
          <w:sz w:val="20"/>
          <w:szCs w:val="20"/>
        </w:rPr>
        <w:t>19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</w:r>
      <w:r w:rsidR="009567F0" w:rsidRPr="007910F9">
        <w:rPr>
          <w:rFonts w:ascii="Arial" w:hAnsi="Arial" w:cs="Arial"/>
          <w:b/>
          <w:color w:val="ADAFB2"/>
          <w:sz w:val="20"/>
          <w:szCs w:val="20"/>
        </w:rPr>
        <w:t xml:space="preserve">Podstawowe dane z zakresu finansów publicznych (wg. metodologii GFSM2001) </w:t>
      </w:r>
    </w:p>
    <w:p w:rsidR="009567F0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Tablice 20-</w:t>
      </w:r>
      <w:r w:rsidR="007910F9">
        <w:rPr>
          <w:rFonts w:ascii="Arial" w:hAnsi="Arial" w:cs="Arial"/>
          <w:b/>
          <w:color w:val="ADAFB2"/>
          <w:sz w:val="20"/>
          <w:szCs w:val="20"/>
        </w:rPr>
        <w:t xml:space="preserve"> </w:t>
      </w:r>
      <w:r w:rsidRPr="007910F9">
        <w:rPr>
          <w:rFonts w:ascii="Arial" w:hAnsi="Arial" w:cs="Arial"/>
          <w:b/>
          <w:color w:val="ADAFB2"/>
          <w:sz w:val="20"/>
          <w:szCs w:val="20"/>
        </w:rPr>
        <w:t>21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</w:r>
      <w:r w:rsidR="009567F0" w:rsidRPr="007910F9">
        <w:rPr>
          <w:rFonts w:ascii="Arial" w:hAnsi="Arial" w:cs="Arial"/>
          <w:b/>
          <w:color w:val="ADAFB2"/>
          <w:sz w:val="20"/>
          <w:szCs w:val="20"/>
        </w:rPr>
        <w:t>Zadłużenie sektora instytucji rządowych i samorządowych</w:t>
      </w:r>
      <w:r w:rsidRPr="007910F9">
        <w:rPr>
          <w:rFonts w:ascii="Arial" w:hAnsi="Arial" w:cs="Arial"/>
          <w:b/>
          <w:color w:val="ADAFB2"/>
          <w:sz w:val="20"/>
          <w:szCs w:val="20"/>
        </w:rPr>
        <w:t xml:space="preserve"> (wg. ESA 2010)</w:t>
      </w:r>
    </w:p>
    <w:p w:rsidR="009567F0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Tablice 22-</w:t>
      </w:r>
      <w:r w:rsidR="007910F9">
        <w:rPr>
          <w:rFonts w:ascii="Arial" w:hAnsi="Arial" w:cs="Arial"/>
          <w:b/>
          <w:color w:val="ADAFB2"/>
          <w:sz w:val="20"/>
          <w:szCs w:val="20"/>
        </w:rPr>
        <w:t xml:space="preserve"> </w:t>
      </w:r>
      <w:r w:rsidRPr="007910F9">
        <w:rPr>
          <w:rFonts w:ascii="Arial" w:hAnsi="Arial" w:cs="Arial"/>
          <w:b/>
          <w:color w:val="ADAFB2"/>
          <w:sz w:val="20"/>
          <w:szCs w:val="20"/>
        </w:rPr>
        <w:t>23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  <w:t xml:space="preserve">Zadłużenie sektora finansów publicznych – Państwowy </w:t>
      </w:r>
      <w:r w:rsidR="00740A4E">
        <w:rPr>
          <w:rFonts w:ascii="Arial" w:hAnsi="Arial" w:cs="Arial"/>
          <w:b/>
          <w:color w:val="ADAFB2"/>
          <w:sz w:val="20"/>
          <w:szCs w:val="20"/>
        </w:rPr>
        <w:t>D</w:t>
      </w:r>
      <w:r w:rsidRPr="007910F9">
        <w:rPr>
          <w:rFonts w:ascii="Arial" w:hAnsi="Arial" w:cs="Arial"/>
          <w:b/>
          <w:color w:val="ADAFB2"/>
          <w:sz w:val="20"/>
          <w:szCs w:val="20"/>
        </w:rPr>
        <w:t xml:space="preserve">ług </w:t>
      </w:r>
      <w:r w:rsidR="00740A4E">
        <w:rPr>
          <w:rFonts w:ascii="Arial" w:hAnsi="Arial" w:cs="Arial"/>
          <w:b/>
          <w:color w:val="ADAFB2"/>
          <w:sz w:val="20"/>
          <w:szCs w:val="20"/>
        </w:rPr>
        <w:t>P</w:t>
      </w:r>
      <w:r w:rsidRPr="007910F9">
        <w:rPr>
          <w:rFonts w:ascii="Arial" w:hAnsi="Arial" w:cs="Arial"/>
          <w:b/>
          <w:color w:val="ADAFB2"/>
          <w:sz w:val="20"/>
          <w:szCs w:val="20"/>
        </w:rPr>
        <w:t>ubliczny</w:t>
      </w:r>
    </w:p>
    <w:p w:rsidR="009F1CD8" w:rsidRPr="007910F9" w:rsidRDefault="009F1CD8" w:rsidP="009F1CD8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7910F9">
        <w:rPr>
          <w:rFonts w:ascii="Arial" w:hAnsi="Arial" w:cs="Arial"/>
          <w:b/>
          <w:color w:val="ADAFB2"/>
          <w:sz w:val="20"/>
          <w:szCs w:val="20"/>
        </w:rPr>
        <w:t>Tablice 24-</w:t>
      </w:r>
      <w:r w:rsidR="007910F9">
        <w:rPr>
          <w:rFonts w:ascii="Arial" w:hAnsi="Arial" w:cs="Arial"/>
          <w:b/>
          <w:color w:val="ADAFB2"/>
          <w:sz w:val="20"/>
          <w:szCs w:val="20"/>
        </w:rPr>
        <w:t xml:space="preserve"> </w:t>
      </w:r>
      <w:r w:rsidRPr="007910F9">
        <w:rPr>
          <w:rFonts w:ascii="Arial" w:hAnsi="Arial" w:cs="Arial"/>
          <w:b/>
          <w:color w:val="ADAFB2"/>
          <w:sz w:val="20"/>
          <w:szCs w:val="20"/>
        </w:rPr>
        <w:t>25</w:t>
      </w:r>
      <w:r w:rsidRPr="007910F9">
        <w:rPr>
          <w:rFonts w:ascii="Arial" w:hAnsi="Arial" w:cs="Arial"/>
          <w:b/>
          <w:color w:val="ADAFB2"/>
          <w:sz w:val="20"/>
          <w:szCs w:val="20"/>
        </w:rPr>
        <w:tab/>
        <w:t xml:space="preserve">Zadłużenie sektora finansów publicznych – </w:t>
      </w:r>
      <w:r w:rsidR="00740A4E">
        <w:rPr>
          <w:rFonts w:ascii="Arial" w:hAnsi="Arial" w:cs="Arial"/>
          <w:b/>
          <w:color w:val="ADAFB2"/>
          <w:sz w:val="20"/>
          <w:szCs w:val="20"/>
        </w:rPr>
        <w:t>Z</w:t>
      </w:r>
      <w:r w:rsidRPr="007910F9">
        <w:rPr>
          <w:rFonts w:ascii="Arial" w:hAnsi="Arial" w:cs="Arial"/>
          <w:b/>
          <w:color w:val="ADAFB2"/>
          <w:sz w:val="20"/>
          <w:szCs w:val="20"/>
        </w:rPr>
        <w:t>adłużenie Skarbu Państwa</w:t>
      </w:r>
    </w:p>
    <w:sectPr w:rsidR="009F1CD8" w:rsidRPr="007910F9" w:rsidSect="006B7502">
      <w:pgSz w:w="11907" w:h="16839" w:code="9"/>
      <w:pgMar w:top="1701" w:right="992" w:bottom="1418" w:left="1134" w:header="709" w:footer="975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26D" w:rsidRDefault="0041226D" w:rsidP="0015295C">
      <w:pPr>
        <w:spacing w:after="0" w:line="240" w:lineRule="auto"/>
      </w:pPr>
      <w:r>
        <w:separator/>
      </w:r>
    </w:p>
  </w:endnote>
  <w:endnote w:type="continuationSeparator" w:id="0">
    <w:p w:rsidR="0041226D" w:rsidRDefault="0041226D" w:rsidP="00152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P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9F3" w:rsidRPr="005221F8" w:rsidRDefault="0044114E" w:rsidP="002529F3">
    <w:pPr>
      <w:pStyle w:val="Stopka"/>
      <w:rPr>
        <w:color w:val="ADAFB2"/>
      </w:rPr>
    </w:pPr>
    <w:r>
      <w:rPr>
        <w:color w:val="ADAFB2"/>
      </w:rPr>
      <w:t xml:space="preserve">Informacja kwartalna </w:t>
    </w:r>
    <w:r w:rsidR="002529F3" w:rsidRPr="005221F8">
      <w:rPr>
        <w:color w:val="ADAFB2"/>
      </w:rPr>
      <w:tab/>
    </w:r>
    <w:r w:rsidR="002529F3" w:rsidRPr="005221F8">
      <w:rPr>
        <w:color w:val="ADAFB2"/>
      </w:rPr>
      <w:tab/>
    </w:r>
    <w:r w:rsidR="002529F3" w:rsidRPr="005221F8">
      <w:rPr>
        <w:rStyle w:val="Numerstrony"/>
        <w:color w:val="ADAFB2"/>
      </w:rPr>
      <w:fldChar w:fldCharType="begin"/>
    </w:r>
    <w:r w:rsidR="002529F3" w:rsidRPr="005221F8">
      <w:rPr>
        <w:rStyle w:val="Numerstrony"/>
        <w:color w:val="ADAFB2"/>
      </w:rPr>
      <w:instrText xml:space="preserve"> PAGE </w:instrText>
    </w:r>
    <w:r w:rsidR="002529F3" w:rsidRPr="005221F8">
      <w:rPr>
        <w:rStyle w:val="Numerstrony"/>
        <w:color w:val="ADAFB2"/>
      </w:rPr>
      <w:fldChar w:fldCharType="separate"/>
    </w:r>
    <w:r w:rsidR="007F6D0C">
      <w:rPr>
        <w:rStyle w:val="Numerstrony"/>
        <w:noProof/>
        <w:color w:val="ADAFB2"/>
      </w:rPr>
      <w:t>10</w:t>
    </w:r>
    <w:r w:rsidR="002529F3" w:rsidRPr="005221F8">
      <w:rPr>
        <w:rStyle w:val="Numerstrony"/>
        <w:color w:val="ADAFB2"/>
      </w:rPr>
      <w:fldChar w:fldCharType="end"/>
    </w:r>
  </w:p>
  <w:p w:rsidR="002529F3" w:rsidRPr="005221F8" w:rsidRDefault="002529F3" w:rsidP="002529F3">
    <w:pPr>
      <w:pStyle w:val="Stopka"/>
      <w:rPr>
        <w:color w:val="ADAFB2"/>
      </w:rPr>
    </w:pPr>
    <w:r w:rsidRPr="005221F8">
      <w:rPr>
        <w:color w:val="ADAFB2"/>
      </w:rPr>
      <w:t xml:space="preserve">Nr </w:t>
    </w:r>
    <w:r w:rsidR="00B13134">
      <w:rPr>
        <w:color w:val="ADAFB2"/>
      </w:rPr>
      <w:t>3</w:t>
    </w:r>
    <w:r w:rsidRPr="005221F8">
      <w:rPr>
        <w:color w:val="ADAFB2"/>
      </w:rPr>
      <w:t xml:space="preserve"> / 201</w:t>
    </w:r>
    <w:r w:rsidR="0036475D">
      <w:rPr>
        <w:color w:val="ADAFB2"/>
      </w:rPr>
      <w:t>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960" w:rsidRDefault="00432960" w:rsidP="00D44B43">
    <w:pPr>
      <w:pStyle w:val="Stopka"/>
      <w:rPr>
        <w:color w:val="ADAFB2"/>
      </w:rPr>
    </w:pPr>
  </w:p>
  <w:p w:rsidR="0081680F" w:rsidRPr="005221F8" w:rsidRDefault="00607B5E" w:rsidP="00D44B43">
    <w:pPr>
      <w:pStyle w:val="Stopka"/>
      <w:rPr>
        <w:color w:val="ADAFB2"/>
      </w:rPr>
    </w:pPr>
    <w:r>
      <w:rPr>
        <w:color w:val="ADAFB2"/>
      </w:rPr>
      <w:t>Informacja kwartalna</w:t>
    </w:r>
    <w:r w:rsidR="0081680F" w:rsidRPr="005221F8">
      <w:rPr>
        <w:color w:val="ADAFB2"/>
      </w:rPr>
      <w:tab/>
    </w:r>
    <w:r w:rsidR="0081680F" w:rsidRPr="005221F8">
      <w:rPr>
        <w:color w:val="ADAFB2"/>
      </w:rPr>
      <w:tab/>
    </w:r>
    <w:r w:rsidR="0081680F" w:rsidRPr="005221F8">
      <w:rPr>
        <w:rStyle w:val="Numerstrony"/>
        <w:color w:val="ADAFB2"/>
      </w:rPr>
      <w:fldChar w:fldCharType="begin"/>
    </w:r>
    <w:r w:rsidR="0081680F" w:rsidRPr="005221F8">
      <w:rPr>
        <w:rStyle w:val="Numerstrony"/>
        <w:color w:val="ADAFB2"/>
      </w:rPr>
      <w:instrText xml:space="preserve"> PAGE </w:instrText>
    </w:r>
    <w:r w:rsidR="0081680F" w:rsidRPr="005221F8">
      <w:rPr>
        <w:rStyle w:val="Numerstrony"/>
        <w:color w:val="ADAFB2"/>
      </w:rPr>
      <w:fldChar w:fldCharType="separate"/>
    </w:r>
    <w:r w:rsidR="007F6D0C">
      <w:rPr>
        <w:rStyle w:val="Numerstrony"/>
        <w:noProof/>
        <w:color w:val="ADAFB2"/>
      </w:rPr>
      <w:t>2</w:t>
    </w:r>
    <w:r w:rsidR="0081680F" w:rsidRPr="005221F8">
      <w:rPr>
        <w:rStyle w:val="Numerstrony"/>
        <w:color w:val="ADAFB2"/>
      </w:rPr>
      <w:fldChar w:fldCharType="end"/>
    </w:r>
  </w:p>
  <w:p w:rsidR="0081680F" w:rsidRPr="005221F8" w:rsidRDefault="0081680F" w:rsidP="00D44B43">
    <w:pPr>
      <w:pStyle w:val="Stopka"/>
      <w:rPr>
        <w:color w:val="ADAFB2"/>
      </w:rPr>
    </w:pPr>
    <w:r w:rsidRPr="005221F8">
      <w:rPr>
        <w:color w:val="ADAFB2"/>
      </w:rPr>
      <w:t xml:space="preserve">Nr </w:t>
    </w:r>
    <w:r w:rsidR="00B13134">
      <w:rPr>
        <w:color w:val="ADAFB2"/>
      </w:rPr>
      <w:t>3</w:t>
    </w:r>
    <w:r w:rsidRPr="005221F8">
      <w:rPr>
        <w:color w:val="ADAFB2"/>
      </w:rPr>
      <w:t xml:space="preserve"> / 201</w:t>
    </w:r>
    <w:r w:rsidR="0036475D">
      <w:rPr>
        <w:color w:val="ADAFB2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26D" w:rsidRDefault="0041226D" w:rsidP="0015295C">
      <w:pPr>
        <w:spacing w:after="0" w:line="240" w:lineRule="auto"/>
      </w:pPr>
      <w:r>
        <w:separator/>
      </w:r>
    </w:p>
  </w:footnote>
  <w:footnote w:type="continuationSeparator" w:id="0">
    <w:p w:rsidR="0041226D" w:rsidRDefault="0041226D" w:rsidP="0015295C">
      <w:pPr>
        <w:spacing w:after="0" w:line="240" w:lineRule="auto"/>
      </w:pPr>
      <w:r>
        <w:continuationSeparator/>
      </w:r>
    </w:p>
  </w:footnote>
  <w:footnote w:id="1">
    <w:p w:rsidR="0095058D" w:rsidRDefault="0095058D" w:rsidP="0095058D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Pr="00425741">
        <w:rPr>
          <w:rFonts w:ascii="Times New Roman" w:eastAsia="Calibri" w:hAnsi="Times New Roman"/>
          <w:sz w:val="16"/>
          <w:szCs w:val="16"/>
          <w:lang w:eastAsia="pl-PL"/>
        </w:rPr>
        <w:t>Zgodnie z zasadami ESA2010 dla podatków wartość memoriałową</w:t>
      </w:r>
      <w:r>
        <w:rPr>
          <w:rFonts w:ascii="Times New Roman" w:eastAsia="Calibri" w:hAnsi="Times New Roman"/>
          <w:sz w:val="16"/>
          <w:szCs w:val="16"/>
          <w:lang w:eastAsia="pl-PL"/>
        </w:rPr>
        <w:t xml:space="preserve"> </w:t>
      </w:r>
      <w:r w:rsidRPr="00425741">
        <w:rPr>
          <w:rFonts w:ascii="Times New Roman" w:eastAsia="Calibri" w:hAnsi="Times New Roman"/>
          <w:sz w:val="16"/>
          <w:szCs w:val="16"/>
          <w:lang w:eastAsia="pl-PL"/>
        </w:rPr>
        <w:t>ustala się za pomocą miesięcznego przesunięcia czasowego</w:t>
      </w:r>
      <w:r>
        <w:rPr>
          <w:rFonts w:ascii="Times New Roman" w:eastAsia="Calibri" w:hAnsi="Times New Roman"/>
          <w:sz w:val="16"/>
          <w:szCs w:val="16"/>
          <w:lang w:eastAsia="pl-PL"/>
        </w:rPr>
        <w:t xml:space="preserve"> (np. dane dot. I kw. to suma wykonania w lutym, marcu i kwietniu).</w:t>
      </w:r>
    </w:p>
  </w:footnote>
  <w:footnote w:id="2">
    <w:p w:rsidR="00E2793B" w:rsidRPr="00CB5395" w:rsidRDefault="00E2793B" w:rsidP="00CB53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="00CB5395" w:rsidRPr="00CB5395">
        <w:rPr>
          <w:rFonts w:ascii="Times New Roman" w:eastAsia="Calibri" w:hAnsi="Times New Roman"/>
          <w:sz w:val="16"/>
          <w:szCs w:val="16"/>
          <w:lang w:eastAsia="pl-PL"/>
        </w:rPr>
        <w:t>Składki na ubezpieczenia społeczne obejmują fakty</w:t>
      </w:r>
      <w:r w:rsidR="00CB5395">
        <w:rPr>
          <w:rFonts w:ascii="Times New Roman" w:eastAsia="Calibri" w:hAnsi="Times New Roman"/>
          <w:sz w:val="16"/>
          <w:szCs w:val="16"/>
          <w:lang w:eastAsia="pl-PL"/>
        </w:rPr>
        <w:t xml:space="preserve">czne składki stanowiące wartość </w:t>
      </w:r>
      <w:r w:rsidR="00CB5395" w:rsidRPr="00CB5395">
        <w:rPr>
          <w:rFonts w:ascii="Times New Roman" w:eastAsia="Calibri" w:hAnsi="Times New Roman"/>
          <w:sz w:val="16"/>
          <w:szCs w:val="16"/>
          <w:lang w:eastAsia="pl-PL"/>
        </w:rPr>
        <w:t>ustawowych składek na ubezpieczenia społeczne płaconyc</w:t>
      </w:r>
      <w:r w:rsidR="00CB5395">
        <w:rPr>
          <w:rFonts w:ascii="Times New Roman" w:eastAsia="Calibri" w:hAnsi="Times New Roman"/>
          <w:sz w:val="16"/>
          <w:szCs w:val="16"/>
          <w:lang w:eastAsia="pl-PL"/>
        </w:rPr>
        <w:t xml:space="preserve">h przez pracodawców </w:t>
      </w:r>
      <w:r w:rsidR="00CB5395" w:rsidRPr="00CB5395">
        <w:rPr>
          <w:rFonts w:ascii="Times New Roman" w:eastAsia="Calibri" w:hAnsi="Times New Roman"/>
          <w:sz w:val="16"/>
          <w:szCs w:val="16"/>
          <w:lang w:eastAsia="pl-PL"/>
        </w:rPr>
        <w:t>oraz składki umo</w:t>
      </w:r>
      <w:r w:rsidR="00CB5395">
        <w:rPr>
          <w:rFonts w:ascii="Times New Roman" w:eastAsia="Calibri" w:hAnsi="Times New Roman"/>
          <w:sz w:val="16"/>
          <w:szCs w:val="16"/>
          <w:lang w:eastAsia="pl-PL"/>
        </w:rPr>
        <w:t>wne, które związane są głównie z przypisaniem</w:t>
      </w:r>
      <w:r w:rsidR="00CB5395" w:rsidRPr="00CB5395">
        <w:rPr>
          <w:rFonts w:ascii="Times New Roman" w:eastAsia="Calibri" w:hAnsi="Times New Roman"/>
          <w:sz w:val="16"/>
          <w:szCs w:val="16"/>
          <w:lang w:eastAsia="pl-PL"/>
        </w:rPr>
        <w:t xml:space="preserve"> w rachunkach narodowych składek dla pracowników służb mundurowych</w:t>
      </w:r>
      <w:r w:rsidR="00CB5395">
        <w:rPr>
          <w:rFonts w:ascii="Times New Roman" w:eastAsia="Calibri" w:hAnsi="Times New Roman"/>
          <w:sz w:val="16"/>
          <w:szCs w:val="16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80F" w:rsidRDefault="000404D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-349885</wp:posOffset>
              </wp:positionH>
              <wp:positionV relativeFrom="paragraph">
                <wp:posOffset>46355</wp:posOffset>
              </wp:positionV>
              <wp:extent cx="635" cy="9342755"/>
              <wp:effectExtent l="12065" t="8255" r="6350" b="1206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934275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7.55pt;margin-top:3.65pt;width:.05pt;height:735.6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JwKQIAAEcEAAAOAAAAZHJzL2Uyb0RvYy54bWysU01v2zAMvQ/YfxB0T20nTpoacYrCTnbp&#10;1gDtdlckORYmS4KkxgmG/fdRspOt22UYBgOyPsjHR/JxdX/qJDpy64RWJc5uUoy4opoJdSjx55ft&#10;ZImR80QxIrXiJT5zh+/X79+telPwqW61ZNwiAFGu6E2JW+9NkSSOtrwj7kYbruCx0bYjHo72kDBL&#10;ekDvZDJN00XSa8uM1ZQ7B7f18IjXEb9pOPVPTeO4R7LEwM3H1cZ1H9ZkvSLFwRLTCjrSIP/AoiNC&#10;QdArVE08Qa9W/AHVCWq1042/obpLdNMIymMOkE2W/pbNc0sMj7lAcZy5lsn9P1j66bizSLASTzFS&#10;pIMWPbx6HSOjLJSnN64Aq0rtbEiQntSzedT0q0NKVy1RBx6NX84GfKNH8sYlHJyBIPv+o2ZgQwA/&#10;1urU2A41UpgvwTGAQz3QKTbnfG0OP3lE4XIxm2NE4f5ulk9v5/PALSFFAAmuxjr/gesOhU2JnbdE&#10;HFpfaaVABNoOAcjx0fnB8eIQnJXeCimjFqRCfQyWRkZOS8HCYzBz9rCvpEVHAmq63YZvZPHGzOpX&#10;xSJYywnbjHtPhBz2wFqqgAepAZ1xN8jl2116t1lulvkkny42kzyt68nDtsoni212O69ndVXV2fdA&#10;LcuLVjDGVWB3kW6W/500xiEaRHcV77UMyVv0WGgge/lH0rHLobGDRPaanXc2lDY0HNQajcfJCuPw&#10;6zla/Zz/9Q8AAAD//wMAUEsDBBQABgAIAAAAIQC+BmIq3AAAAAoBAAAPAAAAZHJzL2Rvd25yZXYu&#10;eG1sTI/BTsMwEETvSPyDtUjcWidA0yrEqSoQF26EivMmNklaex1iNw18PcupHEczmnlTbGdnxWTG&#10;0HtSkC4TEIYar3tqFezfXxYbECEiabSejIJvE2BbXl8VmGt/pjczVbEVXEIhRwVdjEMuZWg64zAs&#10;/WCIvU8/Oowsx1bqEc9c7qy8S5JMOuyJFzoczFNnmmN1cgr6cHyd9l9pVe8OGX1EfLZ0+FHq9mbe&#10;PYKIZo6XMPzhMzqUzFT7E+kgrILFapVyVMH6HgT7rPlbzcGH9SYDWRby/4XyFwAA//8DAFBLAQIt&#10;ABQABgAIAAAAIQC2gziS/gAAAOEBAAATAAAAAAAAAAAAAAAAAAAAAABbQ29udGVudF9UeXBlc10u&#10;eG1sUEsBAi0AFAAGAAgAAAAhADj9If/WAAAAlAEAAAsAAAAAAAAAAAAAAAAALwEAAF9yZWxzLy5y&#10;ZWxzUEsBAi0AFAAGAAgAAAAhACE94nApAgAARwQAAA4AAAAAAAAAAAAAAAAALgIAAGRycy9lMm9E&#10;b2MueG1sUEsBAi0AFAAGAAgAAAAhAL4GYircAAAACgEAAA8AAAAAAAAAAAAAAAAAgwQAAGRycy9k&#10;b3ducmV2LnhtbFBLBQYAAAAABAAEAPMAAACMBQAAAAA=&#10;" strokecolor="#7f7f7f" strokeweight=".5pt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-1564005</wp:posOffset>
          </wp:positionH>
          <wp:positionV relativeFrom="paragraph">
            <wp:posOffset>66040</wp:posOffset>
          </wp:positionV>
          <wp:extent cx="802640" cy="767715"/>
          <wp:effectExtent l="0" t="0" r="0" b="0"/>
          <wp:wrapNone/>
          <wp:docPr id="3" name="Picture 0" descr="m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m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-1885950</wp:posOffset>
              </wp:positionH>
              <wp:positionV relativeFrom="paragraph">
                <wp:posOffset>8481060</wp:posOffset>
              </wp:positionV>
              <wp:extent cx="1363980" cy="899160"/>
              <wp:effectExtent l="0" t="381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680F" w:rsidRPr="0029567C" w:rsidRDefault="0081680F" w:rsidP="005F187D">
                          <w:pPr>
                            <w:ind w:left="550"/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</w:pP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ul. </w:t>
                          </w:r>
                          <w:r w:rsidRPr="00D06614">
                            <w:rPr>
                              <w:rFonts w:ascii="Arial" w:eastAsia="+mn-ea" w:hAnsi="Arial" w:cs="Arial"/>
                              <w:color w:val="ADAFB2"/>
                              <w:kern w:val="24"/>
                              <w:sz w:val="14"/>
                              <w:szCs w:val="14"/>
                            </w:rPr>
                            <w:t>Ś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więtokrzyska 12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</w: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00-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916 Warszawa</w:t>
                          </w:r>
                        </w:p>
                        <w:p w:rsidR="0081680F" w:rsidRDefault="0081680F" w:rsidP="005F187D">
                          <w:pPr>
                            <w:ind w:left="550"/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</w:pP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tel.: +48 22 </w:t>
                          </w:r>
                          <w:r w:rsidR="00A95EAA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694</w:t>
                          </w: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 </w:t>
                          </w:r>
                          <w:r w:rsidR="00A95EAA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5</w:t>
                          </w: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5 </w:t>
                          </w:r>
                          <w:r w:rsidR="00A95EAA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55</w:t>
                          </w: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  <w:t>fax: +48 22 </w:t>
                          </w:r>
                          <w:r w:rsidR="00A95EAA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694</w:t>
                          </w: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 </w:t>
                          </w:r>
                          <w:r w:rsidR="00A95EAA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36</w:t>
                          </w:r>
                          <w:r w:rsidRPr="0029567C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 </w:t>
                          </w:r>
                          <w:r w:rsidR="00A95EAA"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30</w:t>
                          </w:r>
                        </w:p>
                        <w:p w:rsidR="0081680F" w:rsidRPr="00D06614" w:rsidRDefault="0081680F" w:rsidP="005F187D">
                          <w:pPr>
                            <w:ind w:left="550"/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  <w:t>www.mf.gov.pl</w:t>
                          </w:r>
                        </w:p>
                        <w:p w:rsidR="0081680F" w:rsidRPr="001F7BFC" w:rsidRDefault="0081680F" w:rsidP="005F187D">
                          <w:pPr>
                            <w:ind w:left="550"/>
                            <w:rPr>
                              <w:rFonts w:ascii="Arial" w:hAnsi="Arial" w:cs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8.5pt;margin-top:667.8pt;width:107.4pt;height:70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rQ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A4jTjpo0SMdNboTIwpMdYZepeD00IObHmHbeJpMVX8vyu8KcbFqCN/SWynF0FBSATvf3HRfXJ1w&#10;lAHZDJ9EBWHITgsLNNayM4BQDATo0KWnY2cMldKEvIwukxiOSjiLk8SPbOtcks63e6n0Byo6ZIwM&#10;S+i8RSf7e6UNG5LOLiYYFwVrW9v9lp9tgOO0A7HhqjkzLGwznxMvWcfrOHTCIFo7oZfnzm2xCp2o&#10;8K8W+WW+WuX+LxPXD9OGVRXlJswsLD/8s8YdJD5J4igtJVpWGThDScntZtVKtCcg7MJ+tuZwcnJz&#10;z2nYIkAur1Lyg9C7CxKniOIrJyzChZNcebHj+cldEnlhEubFeUr3jNN/TwkNGU4WwWIS04n0q9w8&#10;+73NjaQd0zA6WtaBIo5OJDUSXPPKtlYT1k72i1IY+qdSQLvnRlvBGo1OatXjZgQUo+KNqJ5AulKA&#10;skCEMO/AaIT8idEAsyPD6seOSIpR+5GD/M2gmQ05G5vZILyEqxnWGE3mSk8DaddLtm0AeXpgXNzC&#10;E6mZVe+JxeFhwTywSRxmlxk4L/+t12nCLn8DAAD//wMAUEsDBBQABgAIAAAAIQAbxVwl4wAAAA4B&#10;AAAPAAAAZHJzL2Rvd25yZXYueG1sTI/BTsMwEETvSPyDtUjcUocUkjaNU1UITkiINBx6dGI3sRqv&#10;Q+y24e9ZTnDcmdHsm2I724Fd9OSNQwEPixiYxtYpg52Az/o1WgHzQaKSg0Mt4Ft72Ja3N4XMlbti&#10;pS/70DEqQZ9LAX0IY865b3ttpV+4USN5RzdZGeicOq4meaVyO/AkjlNupUH60MtRP/e6Pe3PVsDu&#10;gNWL+XpvPqpjZep6HeNbehLi/m7ebYAFPYe/MPziEzqUxNS4MyrPBgFRss5oTCBnuXxKgVEmWiUJ&#10;sIakxyxLgJcF/z+j/AEAAP//AwBQSwECLQAUAAYACAAAACEAtoM4kv4AAADhAQAAEwAAAAAAAAAA&#10;AAAAAAAAAAAAW0NvbnRlbnRfVHlwZXNdLnhtbFBLAQItABQABgAIAAAAIQA4/SH/1gAAAJQBAAAL&#10;AAAAAAAAAAAAAAAAAC8BAABfcmVscy8ucmVsc1BLAQItABQABgAIAAAAIQAkQngJrQIAAKkFAAAO&#10;AAAAAAAAAAAAAAAAAC4CAABkcnMvZTJvRG9jLnhtbFBLAQItABQABgAIAAAAIQAbxVwl4wAAAA4B&#10;AAAPAAAAAAAAAAAAAAAAAAcFAABkcnMvZG93bnJldi54bWxQSwUGAAAAAAQABADzAAAAFwYAAAAA&#10;" filled="f" stroked="f">
              <v:textbox inset="0,0,0,0">
                <w:txbxContent>
                  <w:p w:rsidR="0081680F" w:rsidRPr="0029567C" w:rsidRDefault="0081680F" w:rsidP="005F187D">
                    <w:pPr>
                      <w:ind w:left="550"/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</w:pP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ul. </w:t>
                    </w:r>
                    <w:r w:rsidRPr="00D06614">
                      <w:rPr>
                        <w:rFonts w:ascii="Arial" w:eastAsia="+mn-ea" w:hAnsi="Arial" w:cs="Arial"/>
                        <w:color w:val="ADAFB2"/>
                        <w:kern w:val="24"/>
                        <w:sz w:val="14"/>
                        <w:szCs w:val="14"/>
                      </w:rPr>
                      <w:t>Ś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więtokrzyska 12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</w: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00-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916 Warszawa</w:t>
                    </w:r>
                  </w:p>
                  <w:p w:rsidR="0081680F" w:rsidRDefault="0081680F" w:rsidP="005F187D">
                    <w:pPr>
                      <w:ind w:left="550"/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</w:pP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tel.: +48 22 </w:t>
                    </w:r>
                    <w:r w:rsidR="00A95EAA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694</w:t>
                    </w: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 </w:t>
                    </w:r>
                    <w:r w:rsidR="00A95EAA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5</w:t>
                    </w: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5 </w:t>
                    </w:r>
                    <w:r w:rsidR="00A95EAA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55</w:t>
                    </w: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  <w:t>fax: +48 22 </w:t>
                    </w:r>
                    <w:r w:rsidR="00A95EAA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694</w:t>
                    </w: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 </w:t>
                    </w:r>
                    <w:r w:rsidR="00A95EAA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36</w:t>
                    </w:r>
                    <w:r w:rsidRPr="0029567C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 </w:t>
                    </w:r>
                    <w:r w:rsidR="00A95EAA"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30</w:t>
                    </w:r>
                  </w:p>
                  <w:p w:rsidR="0081680F" w:rsidRPr="00D06614" w:rsidRDefault="0081680F" w:rsidP="005F187D">
                    <w:pPr>
                      <w:ind w:left="550"/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  <w:t>www.mf.gov.pl</w:t>
                    </w:r>
                  </w:p>
                  <w:p w:rsidR="0081680F" w:rsidRPr="001F7BFC" w:rsidRDefault="0081680F" w:rsidP="005F187D">
                    <w:pPr>
                      <w:ind w:left="550"/>
                      <w:rPr>
                        <w:rFonts w:ascii="Arial" w:hAnsi="Arial" w:cs="Arial"/>
                        <w:color w:val="7F7F7F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E92" w:rsidRDefault="009F5E9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32A83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067D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56667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1AEE9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D3CB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E804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B88DB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C8E7C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442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AF6D2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0360BA"/>
    <w:multiLevelType w:val="multilevel"/>
    <w:tmpl w:val="06BCC9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034817ED"/>
    <w:multiLevelType w:val="hybridMultilevel"/>
    <w:tmpl w:val="25382642"/>
    <w:lvl w:ilvl="0" w:tplc="0415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59544D8"/>
    <w:multiLevelType w:val="hybridMultilevel"/>
    <w:tmpl w:val="B170C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CB30C7"/>
    <w:multiLevelType w:val="hybridMultilevel"/>
    <w:tmpl w:val="ED5EE0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EE468E6"/>
    <w:multiLevelType w:val="hybridMultilevel"/>
    <w:tmpl w:val="A4A4D7EC"/>
    <w:lvl w:ilvl="0" w:tplc="0415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15">
    <w:nsid w:val="0EF86A14"/>
    <w:multiLevelType w:val="hybridMultilevel"/>
    <w:tmpl w:val="81D42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8C411F"/>
    <w:multiLevelType w:val="hybridMultilevel"/>
    <w:tmpl w:val="BA223B7A"/>
    <w:lvl w:ilvl="0" w:tplc="20F0D774">
      <w:start w:val="1"/>
      <w:numFmt w:val="bullet"/>
      <w:lvlText w:val=""/>
      <w:lvlJc w:val="left"/>
      <w:pPr>
        <w:tabs>
          <w:tab w:val="num" w:pos="470"/>
        </w:tabs>
        <w:ind w:left="47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3C07212"/>
    <w:multiLevelType w:val="hybridMultilevel"/>
    <w:tmpl w:val="EBEC7434"/>
    <w:lvl w:ilvl="0" w:tplc="04150017">
      <w:start w:val="1"/>
      <w:numFmt w:val="lowerLetter"/>
      <w:lvlText w:val="%1)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AC0F44"/>
    <w:multiLevelType w:val="hybridMultilevel"/>
    <w:tmpl w:val="4320B6A8"/>
    <w:lvl w:ilvl="0" w:tplc="0E9499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1A15103"/>
    <w:multiLevelType w:val="hybridMultilevel"/>
    <w:tmpl w:val="6E30A2D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1B85978"/>
    <w:multiLevelType w:val="hybridMultilevel"/>
    <w:tmpl w:val="2216E6AE"/>
    <w:lvl w:ilvl="0" w:tplc="A33220A8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4F57893"/>
    <w:multiLevelType w:val="hybridMultilevel"/>
    <w:tmpl w:val="B27EFE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F726DC"/>
    <w:multiLevelType w:val="hybridMultilevel"/>
    <w:tmpl w:val="F15618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FA33D4"/>
    <w:multiLevelType w:val="hybridMultilevel"/>
    <w:tmpl w:val="04382162"/>
    <w:lvl w:ilvl="0" w:tplc="4468B5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60E29A1"/>
    <w:multiLevelType w:val="hybridMultilevel"/>
    <w:tmpl w:val="99887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F27449"/>
    <w:multiLevelType w:val="hybridMultilevel"/>
    <w:tmpl w:val="BC1C243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2A20451D"/>
    <w:multiLevelType w:val="hybridMultilevel"/>
    <w:tmpl w:val="BC848348"/>
    <w:lvl w:ilvl="0" w:tplc="BA5CE7C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101814"/>
    <w:multiLevelType w:val="hybridMultilevel"/>
    <w:tmpl w:val="FCCA7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7E79C1"/>
    <w:multiLevelType w:val="hybridMultilevel"/>
    <w:tmpl w:val="7EF2705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>
    <w:nsid w:val="2EF820E7"/>
    <w:multiLevelType w:val="hybridMultilevel"/>
    <w:tmpl w:val="033C7E8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A981DF8"/>
    <w:multiLevelType w:val="hybridMultilevel"/>
    <w:tmpl w:val="4320B6A8"/>
    <w:lvl w:ilvl="0" w:tplc="0E9499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E5876A7"/>
    <w:multiLevelType w:val="hybridMultilevel"/>
    <w:tmpl w:val="7BACF0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EE40127"/>
    <w:multiLevelType w:val="hybridMultilevel"/>
    <w:tmpl w:val="B1EC3C44"/>
    <w:lvl w:ilvl="0" w:tplc="C1C8B98C">
      <w:start w:val="1"/>
      <w:numFmt w:val="bullet"/>
      <w:lvlText w:val="-"/>
      <w:lvlJc w:val="left"/>
      <w:pPr>
        <w:tabs>
          <w:tab w:val="num" w:pos="1579"/>
        </w:tabs>
        <w:ind w:left="1602" w:hanging="363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5"/>
        </w:tabs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5"/>
        </w:tabs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5"/>
        </w:tabs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5"/>
        </w:tabs>
        <w:ind w:left="7265" w:hanging="360"/>
      </w:pPr>
      <w:rPr>
        <w:rFonts w:ascii="Wingdings" w:hAnsi="Wingdings" w:hint="default"/>
      </w:rPr>
    </w:lvl>
  </w:abstractNum>
  <w:abstractNum w:abstractNumId="33">
    <w:nsid w:val="4F9E2836"/>
    <w:multiLevelType w:val="hybridMultilevel"/>
    <w:tmpl w:val="B45CA4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FB38FB"/>
    <w:multiLevelType w:val="hybridMultilevel"/>
    <w:tmpl w:val="761C7E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7D37613"/>
    <w:multiLevelType w:val="multilevel"/>
    <w:tmpl w:val="8466E2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5C12587C"/>
    <w:multiLevelType w:val="hybridMultilevel"/>
    <w:tmpl w:val="C6BED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16A032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C6A06094">
      <w:start w:val="2"/>
      <w:numFmt w:val="bullet"/>
      <w:lvlText w:val="-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664E13"/>
    <w:multiLevelType w:val="hybridMultilevel"/>
    <w:tmpl w:val="2EB084B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894A70"/>
    <w:multiLevelType w:val="hybridMultilevel"/>
    <w:tmpl w:val="767CF18C"/>
    <w:lvl w:ilvl="0" w:tplc="E1D41D6E">
      <w:start w:val="4"/>
      <w:numFmt w:val="decimal"/>
      <w:lvlText w:val="%1."/>
      <w:lvlJc w:val="left"/>
      <w:pPr>
        <w:ind w:left="720" w:hanging="360"/>
      </w:pPr>
      <w:rPr>
        <w:rFonts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D503EB"/>
    <w:multiLevelType w:val="hybridMultilevel"/>
    <w:tmpl w:val="0800306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0">
    <w:nsid w:val="68FE1985"/>
    <w:multiLevelType w:val="hybridMultilevel"/>
    <w:tmpl w:val="6E58B92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314792"/>
    <w:multiLevelType w:val="hybridMultilevel"/>
    <w:tmpl w:val="B172EA76"/>
    <w:lvl w:ilvl="0" w:tplc="04150001">
      <w:start w:val="1"/>
      <w:numFmt w:val="bullet"/>
      <w:lvlText w:val=""/>
      <w:lvlJc w:val="left"/>
      <w:pPr>
        <w:ind w:left="894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96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3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1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18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5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2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39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4703" w:hanging="360"/>
      </w:pPr>
      <w:rPr>
        <w:rFonts w:ascii="Wingdings" w:hAnsi="Wingdings" w:hint="default"/>
      </w:rPr>
    </w:lvl>
  </w:abstractNum>
  <w:abstractNum w:abstractNumId="42">
    <w:nsid w:val="6EA75C46"/>
    <w:multiLevelType w:val="hybridMultilevel"/>
    <w:tmpl w:val="537049D6"/>
    <w:lvl w:ilvl="0" w:tplc="04150017">
      <w:start w:val="1"/>
      <w:numFmt w:val="lowerLetter"/>
      <w:lvlText w:val="%1)"/>
      <w:lvlJc w:val="left"/>
      <w:pPr>
        <w:ind w:left="4980" w:hanging="360"/>
      </w:pPr>
    </w:lvl>
    <w:lvl w:ilvl="1" w:tplc="04150019">
      <w:start w:val="1"/>
      <w:numFmt w:val="lowerLetter"/>
      <w:lvlText w:val="%2."/>
      <w:lvlJc w:val="left"/>
      <w:pPr>
        <w:ind w:left="5700" w:hanging="360"/>
      </w:pPr>
    </w:lvl>
    <w:lvl w:ilvl="2" w:tplc="0415001B">
      <w:start w:val="1"/>
      <w:numFmt w:val="lowerRoman"/>
      <w:lvlText w:val="%3."/>
      <w:lvlJc w:val="right"/>
      <w:pPr>
        <w:ind w:left="6420" w:hanging="180"/>
      </w:pPr>
    </w:lvl>
    <w:lvl w:ilvl="3" w:tplc="0415000F" w:tentative="1">
      <w:start w:val="1"/>
      <w:numFmt w:val="decimal"/>
      <w:lvlText w:val="%4."/>
      <w:lvlJc w:val="left"/>
      <w:pPr>
        <w:ind w:left="7140" w:hanging="360"/>
      </w:pPr>
    </w:lvl>
    <w:lvl w:ilvl="4" w:tplc="04150019" w:tentative="1">
      <w:start w:val="1"/>
      <w:numFmt w:val="lowerLetter"/>
      <w:lvlText w:val="%5."/>
      <w:lvlJc w:val="left"/>
      <w:pPr>
        <w:ind w:left="7860" w:hanging="360"/>
      </w:pPr>
    </w:lvl>
    <w:lvl w:ilvl="5" w:tplc="0415001B" w:tentative="1">
      <w:start w:val="1"/>
      <w:numFmt w:val="lowerRoman"/>
      <w:lvlText w:val="%6."/>
      <w:lvlJc w:val="right"/>
      <w:pPr>
        <w:ind w:left="8580" w:hanging="180"/>
      </w:pPr>
    </w:lvl>
    <w:lvl w:ilvl="6" w:tplc="0415000F" w:tentative="1">
      <w:start w:val="1"/>
      <w:numFmt w:val="decimal"/>
      <w:lvlText w:val="%7."/>
      <w:lvlJc w:val="left"/>
      <w:pPr>
        <w:ind w:left="9300" w:hanging="360"/>
      </w:pPr>
    </w:lvl>
    <w:lvl w:ilvl="7" w:tplc="04150019" w:tentative="1">
      <w:start w:val="1"/>
      <w:numFmt w:val="lowerLetter"/>
      <w:lvlText w:val="%8."/>
      <w:lvlJc w:val="left"/>
      <w:pPr>
        <w:ind w:left="10020" w:hanging="360"/>
      </w:pPr>
    </w:lvl>
    <w:lvl w:ilvl="8" w:tplc="0415001B" w:tentative="1">
      <w:start w:val="1"/>
      <w:numFmt w:val="lowerRoman"/>
      <w:lvlText w:val="%9."/>
      <w:lvlJc w:val="right"/>
      <w:pPr>
        <w:ind w:left="10740" w:hanging="180"/>
      </w:pPr>
    </w:lvl>
  </w:abstractNum>
  <w:abstractNum w:abstractNumId="43">
    <w:nsid w:val="74302F31"/>
    <w:multiLevelType w:val="hybridMultilevel"/>
    <w:tmpl w:val="3A22B80C"/>
    <w:lvl w:ilvl="0" w:tplc="E1D09ADC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BD1DCA"/>
    <w:multiLevelType w:val="hybridMultilevel"/>
    <w:tmpl w:val="015A5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3932B4"/>
    <w:multiLevelType w:val="multilevel"/>
    <w:tmpl w:val="2216E6AE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C6042A2"/>
    <w:multiLevelType w:val="hybridMultilevel"/>
    <w:tmpl w:val="05667DB2"/>
    <w:lvl w:ilvl="0" w:tplc="A5A2C38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8F4124"/>
    <w:multiLevelType w:val="hybridMultilevel"/>
    <w:tmpl w:val="927402A8"/>
    <w:lvl w:ilvl="0" w:tplc="BAA83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20"/>
  </w:num>
  <w:num w:numId="4">
    <w:abstractNumId w:val="33"/>
  </w:num>
  <w:num w:numId="5">
    <w:abstractNumId w:val="46"/>
  </w:num>
  <w:num w:numId="6">
    <w:abstractNumId w:val="37"/>
  </w:num>
  <w:num w:numId="7">
    <w:abstractNumId w:val="14"/>
  </w:num>
  <w:num w:numId="8">
    <w:abstractNumId w:val="45"/>
  </w:num>
  <w:num w:numId="9">
    <w:abstractNumId w:val="3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6"/>
  </w:num>
  <w:num w:numId="21">
    <w:abstractNumId w:val="32"/>
  </w:num>
  <w:num w:numId="22">
    <w:abstractNumId w:val="43"/>
  </w:num>
  <w:num w:numId="23">
    <w:abstractNumId w:val="46"/>
  </w:num>
  <w:num w:numId="24">
    <w:abstractNumId w:val="19"/>
  </w:num>
  <w:num w:numId="25">
    <w:abstractNumId w:val="35"/>
  </w:num>
  <w:num w:numId="26">
    <w:abstractNumId w:val="10"/>
  </w:num>
  <w:num w:numId="27">
    <w:abstractNumId w:val="38"/>
  </w:num>
  <w:num w:numId="28">
    <w:abstractNumId w:val="13"/>
  </w:num>
  <w:num w:numId="29">
    <w:abstractNumId w:val="26"/>
  </w:num>
  <w:num w:numId="30">
    <w:abstractNumId w:val="31"/>
  </w:num>
  <w:num w:numId="31">
    <w:abstractNumId w:val="15"/>
  </w:num>
  <w:num w:numId="32">
    <w:abstractNumId w:val="47"/>
  </w:num>
  <w:num w:numId="33">
    <w:abstractNumId w:val="24"/>
  </w:num>
  <w:num w:numId="34">
    <w:abstractNumId w:val="17"/>
  </w:num>
  <w:num w:numId="35">
    <w:abstractNumId w:val="28"/>
  </w:num>
  <w:num w:numId="36">
    <w:abstractNumId w:val="11"/>
  </w:num>
  <w:num w:numId="37">
    <w:abstractNumId w:val="39"/>
  </w:num>
  <w:num w:numId="38">
    <w:abstractNumId w:val="22"/>
  </w:num>
  <w:num w:numId="39">
    <w:abstractNumId w:val="42"/>
  </w:num>
  <w:num w:numId="40">
    <w:abstractNumId w:val="21"/>
  </w:num>
  <w:num w:numId="41">
    <w:abstractNumId w:val="18"/>
  </w:num>
  <w:num w:numId="42">
    <w:abstractNumId w:val="30"/>
  </w:num>
  <w:num w:numId="43">
    <w:abstractNumId w:val="36"/>
  </w:num>
  <w:num w:numId="44">
    <w:abstractNumId w:val="41"/>
  </w:num>
  <w:num w:numId="45">
    <w:abstractNumId w:val="44"/>
  </w:num>
  <w:num w:numId="46">
    <w:abstractNumId w:val="27"/>
  </w:num>
  <w:num w:numId="47">
    <w:abstractNumId w:val="12"/>
  </w:num>
  <w:num w:numId="48">
    <w:abstractNumId w:val="40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91"/>
    <w:rsid w:val="00000507"/>
    <w:rsid w:val="00000BC6"/>
    <w:rsid w:val="00006E3B"/>
    <w:rsid w:val="00007008"/>
    <w:rsid w:val="000070F3"/>
    <w:rsid w:val="00007AB8"/>
    <w:rsid w:val="000102B5"/>
    <w:rsid w:val="000106DF"/>
    <w:rsid w:val="00010A00"/>
    <w:rsid w:val="00010D4B"/>
    <w:rsid w:val="00013E62"/>
    <w:rsid w:val="0001432B"/>
    <w:rsid w:val="00015D57"/>
    <w:rsid w:val="0002058B"/>
    <w:rsid w:val="000210F5"/>
    <w:rsid w:val="00021843"/>
    <w:rsid w:val="00022B96"/>
    <w:rsid w:val="00024596"/>
    <w:rsid w:val="00027561"/>
    <w:rsid w:val="00030A43"/>
    <w:rsid w:val="00032D57"/>
    <w:rsid w:val="000404D4"/>
    <w:rsid w:val="000406B8"/>
    <w:rsid w:val="00042F8F"/>
    <w:rsid w:val="0004308B"/>
    <w:rsid w:val="00044E4A"/>
    <w:rsid w:val="00045CA7"/>
    <w:rsid w:val="00050E88"/>
    <w:rsid w:val="00051F46"/>
    <w:rsid w:val="00054C08"/>
    <w:rsid w:val="00057D54"/>
    <w:rsid w:val="0006107D"/>
    <w:rsid w:val="000642F2"/>
    <w:rsid w:val="00065052"/>
    <w:rsid w:val="00065FD9"/>
    <w:rsid w:val="00066997"/>
    <w:rsid w:val="00066C79"/>
    <w:rsid w:val="00067514"/>
    <w:rsid w:val="000715CD"/>
    <w:rsid w:val="00072C84"/>
    <w:rsid w:val="00073A5B"/>
    <w:rsid w:val="00073D49"/>
    <w:rsid w:val="000808CE"/>
    <w:rsid w:val="00080F1F"/>
    <w:rsid w:val="000818AF"/>
    <w:rsid w:val="00082590"/>
    <w:rsid w:val="000836F4"/>
    <w:rsid w:val="00083E9F"/>
    <w:rsid w:val="00084088"/>
    <w:rsid w:val="000867E8"/>
    <w:rsid w:val="00092DA3"/>
    <w:rsid w:val="00093E74"/>
    <w:rsid w:val="00094144"/>
    <w:rsid w:val="00094E6A"/>
    <w:rsid w:val="00095F03"/>
    <w:rsid w:val="00096169"/>
    <w:rsid w:val="0009641C"/>
    <w:rsid w:val="00096547"/>
    <w:rsid w:val="000974B5"/>
    <w:rsid w:val="00097C76"/>
    <w:rsid w:val="000A18D1"/>
    <w:rsid w:val="000A2615"/>
    <w:rsid w:val="000A27CE"/>
    <w:rsid w:val="000A2FF9"/>
    <w:rsid w:val="000A3996"/>
    <w:rsid w:val="000A57D3"/>
    <w:rsid w:val="000A643B"/>
    <w:rsid w:val="000A6B27"/>
    <w:rsid w:val="000A6CA0"/>
    <w:rsid w:val="000B05F5"/>
    <w:rsid w:val="000B242B"/>
    <w:rsid w:val="000B25E3"/>
    <w:rsid w:val="000B2EB1"/>
    <w:rsid w:val="000B4812"/>
    <w:rsid w:val="000B534A"/>
    <w:rsid w:val="000B570F"/>
    <w:rsid w:val="000C08CF"/>
    <w:rsid w:val="000C1F92"/>
    <w:rsid w:val="000C6ADA"/>
    <w:rsid w:val="000C72D1"/>
    <w:rsid w:val="000C7804"/>
    <w:rsid w:val="000C79AA"/>
    <w:rsid w:val="000D0CB3"/>
    <w:rsid w:val="000D1F2D"/>
    <w:rsid w:val="000D3BDA"/>
    <w:rsid w:val="000D41EB"/>
    <w:rsid w:val="000D4A40"/>
    <w:rsid w:val="000D5D25"/>
    <w:rsid w:val="000D62FC"/>
    <w:rsid w:val="000D6B6F"/>
    <w:rsid w:val="000E16EF"/>
    <w:rsid w:val="000E4111"/>
    <w:rsid w:val="000E691C"/>
    <w:rsid w:val="000E6C86"/>
    <w:rsid w:val="000F07EE"/>
    <w:rsid w:val="000F137E"/>
    <w:rsid w:val="000F1858"/>
    <w:rsid w:val="000F194D"/>
    <w:rsid w:val="000F1AC9"/>
    <w:rsid w:val="000F1B21"/>
    <w:rsid w:val="00100151"/>
    <w:rsid w:val="001003EA"/>
    <w:rsid w:val="00101287"/>
    <w:rsid w:val="00101324"/>
    <w:rsid w:val="00102911"/>
    <w:rsid w:val="00103281"/>
    <w:rsid w:val="00107FC2"/>
    <w:rsid w:val="001125E4"/>
    <w:rsid w:val="00112A5D"/>
    <w:rsid w:val="001170B6"/>
    <w:rsid w:val="001200B9"/>
    <w:rsid w:val="00120B80"/>
    <w:rsid w:val="001219F3"/>
    <w:rsid w:val="001226C8"/>
    <w:rsid w:val="00122865"/>
    <w:rsid w:val="00125A96"/>
    <w:rsid w:val="00127D06"/>
    <w:rsid w:val="00130371"/>
    <w:rsid w:val="00130D8A"/>
    <w:rsid w:val="00131D09"/>
    <w:rsid w:val="0013243B"/>
    <w:rsid w:val="00132CD4"/>
    <w:rsid w:val="00135D04"/>
    <w:rsid w:val="00136E7A"/>
    <w:rsid w:val="001379B8"/>
    <w:rsid w:val="00140651"/>
    <w:rsid w:val="00140996"/>
    <w:rsid w:val="0014184F"/>
    <w:rsid w:val="00142BDE"/>
    <w:rsid w:val="00144B16"/>
    <w:rsid w:val="00147DCE"/>
    <w:rsid w:val="0015152D"/>
    <w:rsid w:val="0015295C"/>
    <w:rsid w:val="0015452B"/>
    <w:rsid w:val="00155BEC"/>
    <w:rsid w:val="00157279"/>
    <w:rsid w:val="00162265"/>
    <w:rsid w:val="00162356"/>
    <w:rsid w:val="00162480"/>
    <w:rsid w:val="001642FC"/>
    <w:rsid w:val="00165075"/>
    <w:rsid w:val="001676EF"/>
    <w:rsid w:val="00176E8C"/>
    <w:rsid w:val="00184FD0"/>
    <w:rsid w:val="0018746D"/>
    <w:rsid w:val="001878C9"/>
    <w:rsid w:val="00190CD4"/>
    <w:rsid w:val="00191353"/>
    <w:rsid w:val="00191422"/>
    <w:rsid w:val="00193793"/>
    <w:rsid w:val="00193C91"/>
    <w:rsid w:val="001A0B08"/>
    <w:rsid w:val="001A112E"/>
    <w:rsid w:val="001A38F9"/>
    <w:rsid w:val="001A4D91"/>
    <w:rsid w:val="001A4F79"/>
    <w:rsid w:val="001A55F7"/>
    <w:rsid w:val="001B31A2"/>
    <w:rsid w:val="001C13AB"/>
    <w:rsid w:val="001C2702"/>
    <w:rsid w:val="001C3A80"/>
    <w:rsid w:val="001C5091"/>
    <w:rsid w:val="001C6544"/>
    <w:rsid w:val="001C67F4"/>
    <w:rsid w:val="001C7B4E"/>
    <w:rsid w:val="001D146E"/>
    <w:rsid w:val="001D1B9F"/>
    <w:rsid w:val="001D21C2"/>
    <w:rsid w:val="001D27FA"/>
    <w:rsid w:val="001D285A"/>
    <w:rsid w:val="001D2A3F"/>
    <w:rsid w:val="001D4DA9"/>
    <w:rsid w:val="001D71D6"/>
    <w:rsid w:val="001E29EE"/>
    <w:rsid w:val="001E2E27"/>
    <w:rsid w:val="001E41C5"/>
    <w:rsid w:val="001E45F8"/>
    <w:rsid w:val="001E4C58"/>
    <w:rsid w:val="001E6DAF"/>
    <w:rsid w:val="001F2255"/>
    <w:rsid w:val="001F22AC"/>
    <w:rsid w:val="001F397B"/>
    <w:rsid w:val="001F3A76"/>
    <w:rsid w:val="001F3BE0"/>
    <w:rsid w:val="001F40D6"/>
    <w:rsid w:val="001F7717"/>
    <w:rsid w:val="001F7BFC"/>
    <w:rsid w:val="001F7D49"/>
    <w:rsid w:val="00200E19"/>
    <w:rsid w:val="00201DBD"/>
    <w:rsid w:val="00201F15"/>
    <w:rsid w:val="002048EE"/>
    <w:rsid w:val="0020557E"/>
    <w:rsid w:val="00205A94"/>
    <w:rsid w:val="00206E03"/>
    <w:rsid w:val="00206F11"/>
    <w:rsid w:val="00212874"/>
    <w:rsid w:val="00214199"/>
    <w:rsid w:val="00214A42"/>
    <w:rsid w:val="00216C9E"/>
    <w:rsid w:val="002170A8"/>
    <w:rsid w:val="00217D67"/>
    <w:rsid w:val="00217DDE"/>
    <w:rsid w:val="00224B34"/>
    <w:rsid w:val="00224FBD"/>
    <w:rsid w:val="0022526B"/>
    <w:rsid w:val="00225E4E"/>
    <w:rsid w:val="00230793"/>
    <w:rsid w:val="002312B6"/>
    <w:rsid w:val="00235554"/>
    <w:rsid w:val="00236D89"/>
    <w:rsid w:val="00241B7D"/>
    <w:rsid w:val="00241D40"/>
    <w:rsid w:val="00242355"/>
    <w:rsid w:val="00244B6B"/>
    <w:rsid w:val="0024526D"/>
    <w:rsid w:val="002460E7"/>
    <w:rsid w:val="00250B4B"/>
    <w:rsid w:val="00250EEB"/>
    <w:rsid w:val="002526AA"/>
    <w:rsid w:val="002529F3"/>
    <w:rsid w:val="00252AE6"/>
    <w:rsid w:val="00254F5B"/>
    <w:rsid w:val="0025554A"/>
    <w:rsid w:val="00261442"/>
    <w:rsid w:val="0026261D"/>
    <w:rsid w:val="00266236"/>
    <w:rsid w:val="00266998"/>
    <w:rsid w:val="00270342"/>
    <w:rsid w:val="00270388"/>
    <w:rsid w:val="00272CC6"/>
    <w:rsid w:val="00272E3A"/>
    <w:rsid w:val="00273427"/>
    <w:rsid w:val="002737AB"/>
    <w:rsid w:val="00276799"/>
    <w:rsid w:val="00280EF7"/>
    <w:rsid w:val="0028194A"/>
    <w:rsid w:val="002826C7"/>
    <w:rsid w:val="002863AE"/>
    <w:rsid w:val="002874B7"/>
    <w:rsid w:val="002903F3"/>
    <w:rsid w:val="00292DA1"/>
    <w:rsid w:val="00293690"/>
    <w:rsid w:val="002A17A6"/>
    <w:rsid w:val="002A1BD0"/>
    <w:rsid w:val="002A1FE9"/>
    <w:rsid w:val="002A20F0"/>
    <w:rsid w:val="002A5765"/>
    <w:rsid w:val="002B0128"/>
    <w:rsid w:val="002B447C"/>
    <w:rsid w:val="002C5142"/>
    <w:rsid w:val="002D42B8"/>
    <w:rsid w:val="002D5495"/>
    <w:rsid w:val="002D591E"/>
    <w:rsid w:val="002D6C49"/>
    <w:rsid w:val="002E066A"/>
    <w:rsid w:val="002E22EC"/>
    <w:rsid w:val="002E28B5"/>
    <w:rsid w:val="002E4402"/>
    <w:rsid w:val="002E5227"/>
    <w:rsid w:val="002E559D"/>
    <w:rsid w:val="002F0668"/>
    <w:rsid w:val="002F06D1"/>
    <w:rsid w:val="002F2D38"/>
    <w:rsid w:val="002F5252"/>
    <w:rsid w:val="002F699C"/>
    <w:rsid w:val="002F7C5D"/>
    <w:rsid w:val="00300147"/>
    <w:rsid w:val="0030155A"/>
    <w:rsid w:val="00304AEF"/>
    <w:rsid w:val="00305BC7"/>
    <w:rsid w:val="00306D0A"/>
    <w:rsid w:val="0031062E"/>
    <w:rsid w:val="00310ED7"/>
    <w:rsid w:val="00311967"/>
    <w:rsid w:val="00311BD1"/>
    <w:rsid w:val="00313D06"/>
    <w:rsid w:val="00314CB3"/>
    <w:rsid w:val="00314F49"/>
    <w:rsid w:val="003154A4"/>
    <w:rsid w:val="00317E50"/>
    <w:rsid w:val="00320C1F"/>
    <w:rsid w:val="003217BB"/>
    <w:rsid w:val="00321E3C"/>
    <w:rsid w:val="003255C0"/>
    <w:rsid w:val="00325BC4"/>
    <w:rsid w:val="003262D7"/>
    <w:rsid w:val="00326306"/>
    <w:rsid w:val="003278BA"/>
    <w:rsid w:val="00327D95"/>
    <w:rsid w:val="003344E6"/>
    <w:rsid w:val="00334B4F"/>
    <w:rsid w:val="00335D57"/>
    <w:rsid w:val="00336117"/>
    <w:rsid w:val="00341A18"/>
    <w:rsid w:val="00341DC8"/>
    <w:rsid w:val="00345BEA"/>
    <w:rsid w:val="003474DF"/>
    <w:rsid w:val="00353CE8"/>
    <w:rsid w:val="003552AD"/>
    <w:rsid w:val="00356744"/>
    <w:rsid w:val="00357076"/>
    <w:rsid w:val="00357DD9"/>
    <w:rsid w:val="00362413"/>
    <w:rsid w:val="00363FC9"/>
    <w:rsid w:val="0036475D"/>
    <w:rsid w:val="00365AB5"/>
    <w:rsid w:val="0036667F"/>
    <w:rsid w:val="00371021"/>
    <w:rsid w:val="00371B73"/>
    <w:rsid w:val="00372D38"/>
    <w:rsid w:val="00375108"/>
    <w:rsid w:val="0037555B"/>
    <w:rsid w:val="00376301"/>
    <w:rsid w:val="00381ECF"/>
    <w:rsid w:val="003846B1"/>
    <w:rsid w:val="00384F40"/>
    <w:rsid w:val="00386304"/>
    <w:rsid w:val="00390CE0"/>
    <w:rsid w:val="0039302F"/>
    <w:rsid w:val="00393A9E"/>
    <w:rsid w:val="00394091"/>
    <w:rsid w:val="00396DDA"/>
    <w:rsid w:val="003A416F"/>
    <w:rsid w:val="003A4E3C"/>
    <w:rsid w:val="003A5602"/>
    <w:rsid w:val="003A6FCB"/>
    <w:rsid w:val="003B09B7"/>
    <w:rsid w:val="003B10AA"/>
    <w:rsid w:val="003B22AD"/>
    <w:rsid w:val="003B2E14"/>
    <w:rsid w:val="003B40C9"/>
    <w:rsid w:val="003B51B2"/>
    <w:rsid w:val="003B5764"/>
    <w:rsid w:val="003B6576"/>
    <w:rsid w:val="003B71F9"/>
    <w:rsid w:val="003C31F6"/>
    <w:rsid w:val="003C4503"/>
    <w:rsid w:val="003C488E"/>
    <w:rsid w:val="003D5AAE"/>
    <w:rsid w:val="003E0424"/>
    <w:rsid w:val="003E06E4"/>
    <w:rsid w:val="003E2F7D"/>
    <w:rsid w:val="003E4579"/>
    <w:rsid w:val="003E49CA"/>
    <w:rsid w:val="003E667E"/>
    <w:rsid w:val="003E7907"/>
    <w:rsid w:val="003F0628"/>
    <w:rsid w:val="003F2A06"/>
    <w:rsid w:val="003F5300"/>
    <w:rsid w:val="003F653D"/>
    <w:rsid w:val="003F67E7"/>
    <w:rsid w:val="003F6C6C"/>
    <w:rsid w:val="003F70BA"/>
    <w:rsid w:val="003F725B"/>
    <w:rsid w:val="004014E6"/>
    <w:rsid w:val="00402A9D"/>
    <w:rsid w:val="00403B4E"/>
    <w:rsid w:val="004047C7"/>
    <w:rsid w:val="004102FE"/>
    <w:rsid w:val="00410A00"/>
    <w:rsid w:val="0041226D"/>
    <w:rsid w:val="004123BE"/>
    <w:rsid w:val="004133A0"/>
    <w:rsid w:val="004140D1"/>
    <w:rsid w:val="00415A43"/>
    <w:rsid w:val="00416147"/>
    <w:rsid w:val="00417276"/>
    <w:rsid w:val="00421EA8"/>
    <w:rsid w:val="00424BBE"/>
    <w:rsid w:val="00424C36"/>
    <w:rsid w:val="00424EBB"/>
    <w:rsid w:val="00425741"/>
    <w:rsid w:val="00425D5D"/>
    <w:rsid w:val="004270E2"/>
    <w:rsid w:val="00427386"/>
    <w:rsid w:val="004300E2"/>
    <w:rsid w:val="00432960"/>
    <w:rsid w:val="00433755"/>
    <w:rsid w:val="0043411D"/>
    <w:rsid w:val="0043694A"/>
    <w:rsid w:val="00437D9D"/>
    <w:rsid w:val="0044114E"/>
    <w:rsid w:val="00442FB0"/>
    <w:rsid w:val="00443694"/>
    <w:rsid w:val="004440B1"/>
    <w:rsid w:val="00444EA8"/>
    <w:rsid w:val="004450A1"/>
    <w:rsid w:val="00445E65"/>
    <w:rsid w:val="00447068"/>
    <w:rsid w:val="00450B02"/>
    <w:rsid w:val="0045260F"/>
    <w:rsid w:val="00452ED5"/>
    <w:rsid w:val="00460910"/>
    <w:rsid w:val="00461B8F"/>
    <w:rsid w:val="004623E2"/>
    <w:rsid w:val="00464EB7"/>
    <w:rsid w:val="00466597"/>
    <w:rsid w:val="00466BAD"/>
    <w:rsid w:val="00471E62"/>
    <w:rsid w:val="00471F51"/>
    <w:rsid w:val="004723E5"/>
    <w:rsid w:val="004725C8"/>
    <w:rsid w:val="00474D76"/>
    <w:rsid w:val="00475568"/>
    <w:rsid w:val="0047632E"/>
    <w:rsid w:val="00476985"/>
    <w:rsid w:val="00476B67"/>
    <w:rsid w:val="0048073D"/>
    <w:rsid w:val="004876AC"/>
    <w:rsid w:val="00492D38"/>
    <w:rsid w:val="00494650"/>
    <w:rsid w:val="004948E9"/>
    <w:rsid w:val="00494DAC"/>
    <w:rsid w:val="00495B22"/>
    <w:rsid w:val="004A2492"/>
    <w:rsid w:val="004A2D95"/>
    <w:rsid w:val="004A62DC"/>
    <w:rsid w:val="004B0528"/>
    <w:rsid w:val="004B1EE6"/>
    <w:rsid w:val="004B6E66"/>
    <w:rsid w:val="004C0C17"/>
    <w:rsid w:val="004C0F16"/>
    <w:rsid w:val="004C512A"/>
    <w:rsid w:val="004C66BB"/>
    <w:rsid w:val="004D1C88"/>
    <w:rsid w:val="004D21FA"/>
    <w:rsid w:val="004D2522"/>
    <w:rsid w:val="004D32B7"/>
    <w:rsid w:val="004D7F46"/>
    <w:rsid w:val="004E295E"/>
    <w:rsid w:val="004E489A"/>
    <w:rsid w:val="004E5617"/>
    <w:rsid w:val="004E73FD"/>
    <w:rsid w:val="004F0998"/>
    <w:rsid w:val="004F2624"/>
    <w:rsid w:val="004F39F6"/>
    <w:rsid w:val="004F479F"/>
    <w:rsid w:val="004F731B"/>
    <w:rsid w:val="005004B1"/>
    <w:rsid w:val="005004E9"/>
    <w:rsid w:val="00500EB3"/>
    <w:rsid w:val="00500EF4"/>
    <w:rsid w:val="005010AD"/>
    <w:rsid w:val="005011A1"/>
    <w:rsid w:val="0050312A"/>
    <w:rsid w:val="00506046"/>
    <w:rsid w:val="0050739B"/>
    <w:rsid w:val="00507ADE"/>
    <w:rsid w:val="00510B6B"/>
    <w:rsid w:val="0051284B"/>
    <w:rsid w:val="00513A65"/>
    <w:rsid w:val="005155AA"/>
    <w:rsid w:val="00515DB5"/>
    <w:rsid w:val="005173F5"/>
    <w:rsid w:val="005221F8"/>
    <w:rsid w:val="00524797"/>
    <w:rsid w:val="005248D7"/>
    <w:rsid w:val="0052514A"/>
    <w:rsid w:val="00527AD2"/>
    <w:rsid w:val="00527C21"/>
    <w:rsid w:val="00530517"/>
    <w:rsid w:val="005309EE"/>
    <w:rsid w:val="005319BC"/>
    <w:rsid w:val="0053320A"/>
    <w:rsid w:val="00534A8B"/>
    <w:rsid w:val="00540BCC"/>
    <w:rsid w:val="00540CC5"/>
    <w:rsid w:val="00543181"/>
    <w:rsid w:val="005445FF"/>
    <w:rsid w:val="00544F53"/>
    <w:rsid w:val="005454F1"/>
    <w:rsid w:val="00545866"/>
    <w:rsid w:val="005475B8"/>
    <w:rsid w:val="005524C0"/>
    <w:rsid w:val="00553638"/>
    <w:rsid w:val="00557D81"/>
    <w:rsid w:val="00560286"/>
    <w:rsid w:val="005614CF"/>
    <w:rsid w:val="00562706"/>
    <w:rsid w:val="00565AAB"/>
    <w:rsid w:val="005725A7"/>
    <w:rsid w:val="00572C60"/>
    <w:rsid w:val="0057379B"/>
    <w:rsid w:val="005744A2"/>
    <w:rsid w:val="005769ED"/>
    <w:rsid w:val="005774A8"/>
    <w:rsid w:val="0058060A"/>
    <w:rsid w:val="005838A1"/>
    <w:rsid w:val="00584641"/>
    <w:rsid w:val="00584C19"/>
    <w:rsid w:val="005873F6"/>
    <w:rsid w:val="00590384"/>
    <w:rsid w:val="00591DFE"/>
    <w:rsid w:val="00594840"/>
    <w:rsid w:val="005970AA"/>
    <w:rsid w:val="005A14C4"/>
    <w:rsid w:val="005A1C2A"/>
    <w:rsid w:val="005A2021"/>
    <w:rsid w:val="005A3534"/>
    <w:rsid w:val="005A4007"/>
    <w:rsid w:val="005A4800"/>
    <w:rsid w:val="005A4DC9"/>
    <w:rsid w:val="005B1AED"/>
    <w:rsid w:val="005B37ED"/>
    <w:rsid w:val="005B43A4"/>
    <w:rsid w:val="005B557A"/>
    <w:rsid w:val="005B7B5A"/>
    <w:rsid w:val="005B7F4B"/>
    <w:rsid w:val="005C2E14"/>
    <w:rsid w:val="005C3F4C"/>
    <w:rsid w:val="005C5661"/>
    <w:rsid w:val="005C68EB"/>
    <w:rsid w:val="005C6B6D"/>
    <w:rsid w:val="005D1A4A"/>
    <w:rsid w:val="005D5990"/>
    <w:rsid w:val="005D67E2"/>
    <w:rsid w:val="005D6EB3"/>
    <w:rsid w:val="005D76FE"/>
    <w:rsid w:val="005D7BD5"/>
    <w:rsid w:val="005E052A"/>
    <w:rsid w:val="005E25FB"/>
    <w:rsid w:val="005E3769"/>
    <w:rsid w:val="005E4EA5"/>
    <w:rsid w:val="005E50F3"/>
    <w:rsid w:val="005F0D8D"/>
    <w:rsid w:val="005F187D"/>
    <w:rsid w:val="005F1D29"/>
    <w:rsid w:val="005F216F"/>
    <w:rsid w:val="005F268B"/>
    <w:rsid w:val="005F3047"/>
    <w:rsid w:val="005F459E"/>
    <w:rsid w:val="005F703C"/>
    <w:rsid w:val="005F7237"/>
    <w:rsid w:val="005F72EE"/>
    <w:rsid w:val="006005ED"/>
    <w:rsid w:val="00604D2C"/>
    <w:rsid w:val="006069CE"/>
    <w:rsid w:val="00607B5E"/>
    <w:rsid w:val="00610ECB"/>
    <w:rsid w:val="00612DF6"/>
    <w:rsid w:val="00614E93"/>
    <w:rsid w:val="0061552C"/>
    <w:rsid w:val="00620756"/>
    <w:rsid w:val="0062777B"/>
    <w:rsid w:val="00631CD6"/>
    <w:rsid w:val="00631D74"/>
    <w:rsid w:val="00633D6F"/>
    <w:rsid w:val="006361DB"/>
    <w:rsid w:val="00641436"/>
    <w:rsid w:val="00643AF9"/>
    <w:rsid w:val="00644A61"/>
    <w:rsid w:val="00651167"/>
    <w:rsid w:val="00651D03"/>
    <w:rsid w:val="00653269"/>
    <w:rsid w:val="00654326"/>
    <w:rsid w:val="0065494E"/>
    <w:rsid w:val="00654E61"/>
    <w:rsid w:val="00656A63"/>
    <w:rsid w:val="006611F2"/>
    <w:rsid w:val="00662E32"/>
    <w:rsid w:val="006642F6"/>
    <w:rsid w:val="006652E2"/>
    <w:rsid w:val="00665B00"/>
    <w:rsid w:val="006670F5"/>
    <w:rsid w:val="00673265"/>
    <w:rsid w:val="006752D5"/>
    <w:rsid w:val="006759B5"/>
    <w:rsid w:val="00675FFE"/>
    <w:rsid w:val="00677B76"/>
    <w:rsid w:val="00680242"/>
    <w:rsid w:val="00682D29"/>
    <w:rsid w:val="0068356D"/>
    <w:rsid w:val="00683E79"/>
    <w:rsid w:val="00690F9E"/>
    <w:rsid w:val="006931E6"/>
    <w:rsid w:val="00693E86"/>
    <w:rsid w:val="006948E4"/>
    <w:rsid w:val="00695119"/>
    <w:rsid w:val="0069570D"/>
    <w:rsid w:val="006A0964"/>
    <w:rsid w:val="006A1509"/>
    <w:rsid w:val="006A1B95"/>
    <w:rsid w:val="006A1DDA"/>
    <w:rsid w:val="006A5483"/>
    <w:rsid w:val="006A6AF0"/>
    <w:rsid w:val="006A71E5"/>
    <w:rsid w:val="006B35CC"/>
    <w:rsid w:val="006B5E18"/>
    <w:rsid w:val="006B7502"/>
    <w:rsid w:val="006C3F06"/>
    <w:rsid w:val="006C434D"/>
    <w:rsid w:val="006C49AC"/>
    <w:rsid w:val="006C6176"/>
    <w:rsid w:val="006C6E18"/>
    <w:rsid w:val="006C7700"/>
    <w:rsid w:val="006C79F7"/>
    <w:rsid w:val="006C7A30"/>
    <w:rsid w:val="006D07C9"/>
    <w:rsid w:val="006D274C"/>
    <w:rsid w:val="006D51BD"/>
    <w:rsid w:val="006D6CAE"/>
    <w:rsid w:val="006D7D89"/>
    <w:rsid w:val="006D7FF1"/>
    <w:rsid w:val="006E2E0C"/>
    <w:rsid w:val="006F06DD"/>
    <w:rsid w:val="006F2B8A"/>
    <w:rsid w:val="006F3898"/>
    <w:rsid w:val="006F4355"/>
    <w:rsid w:val="006F5E5A"/>
    <w:rsid w:val="006F6095"/>
    <w:rsid w:val="006F76DC"/>
    <w:rsid w:val="006F7E12"/>
    <w:rsid w:val="00701739"/>
    <w:rsid w:val="007029B9"/>
    <w:rsid w:val="007030EB"/>
    <w:rsid w:val="00703676"/>
    <w:rsid w:val="00711160"/>
    <w:rsid w:val="00711F88"/>
    <w:rsid w:val="007121EB"/>
    <w:rsid w:val="00712512"/>
    <w:rsid w:val="007142E6"/>
    <w:rsid w:val="00714640"/>
    <w:rsid w:val="007159A6"/>
    <w:rsid w:val="00716A5D"/>
    <w:rsid w:val="00722913"/>
    <w:rsid w:val="0072464B"/>
    <w:rsid w:val="007260DD"/>
    <w:rsid w:val="00726233"/>
    <w:rsid w:val="007262FB"/>
    <w:rsid w:val="00730D3C"/>
    <w:rsid w:val="00732846"/>
    <w:rsid w:val="007332A3"/>
    <w:rsid w:val="00734EC9"/>
    <w:rsid w:val="00736726"/>
    <w:rsid w:val="00737ED4"/>
    <w:rsid w:val="00740A4E"/>
    <w:rsid w:val="0074640B"/>
    <w:rsid w:val="00747E6D"/>
    <w:rsid w:val="00750FC7"/>
    <w:rsid w:val="0075115D"/>
    <w:rsid w:val="0075285E"/>
    <w:rsid w:val="00753A40"/>
    <w:rsid w:val="007541BF"/>
    <w:rsid w:val="00755FDE"/>
    <w:rsid w:val="007560A0"/>
    <w:rsid w:val="00756139"/>
    <w:rsid w:val="00757169"/>
    <w:rsid w:val="007611F3"/>
    <w:rsid w:val="007629A8"/>
    <w:rsid w:val="00764406"/>
    <w:rsid w:val="00764CCF"/>
    <w:rsid w:val="00767277"/>
    <w:rsid w:val="007705EA"/>
    <w:rsid w:val="00771493"/>
    <w:rsid w:val="007732CA"/>
    <w:rsid w:val="007732CE"/>
    <w:rsid w:val="00775296"/>
    <w:rsid w:val="00775A72"/>
    <w:rsid w:val="007767BA"/>
    <w:rsid w:val="00782638"/>
    <w:rsid w:val="00782658"/>
    <w:rsid w:val="007837F6"/>
    <w:rsid w:val="00785584"/>
    <w:rsid w:val="0078558B"/>
    <w:rsid w:val="0078593E"/>
    <w:rsid w:val="00785B37"/>
    <w:rsid w:val="00786DE7"/>
    <w:rsid w:val="007910F9"/>
    <w:rsid w:val="007941D0"/>
    <w:rsid w:val="00794873"/>
    <w:rsid w:val="007959AC"/>
    <w:rsid w:val="007A1D9D"/>
    <w:rsid w:val="007A2F53"/>
    <w:rsid w:val="007A66FB"/>
    <w:rsid w:val="007A70EC"/>
    <w:rsid w:val="007A713A"/>
    <w:rsid w:val="007A740D"/>
    <w:rsid w:val="007B0E3C"/>
    <w:rsid w:val="007B0F5C"/>
    <w:rsid w:val="007B5713"/>
    <w:rsid w:val="007C023A"/>
    <w:rsid w:val="007C0C6F"/>
    <w:rsid w:val="007C451E"/>
    <w:rsid w:val="007D049D"/>
    <w:rsid w:val="007D2ADA"/>
    <w:rsid w:val="007D6761"/>
    <w:rsid w:val="007E02D0"/>
    <w:rsid w:val="007E1B4D"/>
    <w:rsid w:val="007E294A"/>
    <w:rsid w:val="007E324D"/>
    <w:rsid w:val="007E34C5"/>
    <w:rsid w:val="007E51DF"/>
    <w:rsid w:val="007E52CD"/>
    <w:rsid w:val="007E5D0E"/>
    <w:rsid w:val="007E6779"/>
    <w:rsid w:val="007E7420"/>
    <w:rsid w:val="007F0F58"/>
    <w:rsid w:val="007F1CE6"/>
    <w:rsid w:val="007F321D"/>
    <w:rsid w:val="007F4A88"/>
    <w:rsid w:val="007F50A4"/>
    <w:rsid w:val="007F6D0C"/>
    <w:rsid w:val="007F6EB0"/>
    <w:rsid w:val="007F78EA"/>
    <w:rsid w:val="008047C8"/>
    <w:rsid w:val="00804B52"/>
    <w:rsid w:val="00804DD1"/>
    <w:rsid w:val="00805778"/>
    <w:rsid w:val="008067D3"/>
    <w:rsid w:val="00807122"/>
    <w:rsid w:val="008101FD"/>
    <w:rsid w:val="008102F1"/>
    <w:rsid w:val="00811495"/>
    <w:rsid w:val="0081215C"/>
    <w:rsid w:val="00813C75"/>
    <w:rsid w:val="008153A3"/>
    <w:rsid w:val="0081572C"/>
    <w:rsid w:val="008158AE"/>
    <w:rsid w:val="00816311"/>
    <w:rsid w:val="0081680F"/>
    <w:rsid w:val="00824E66"/>
    <w:rsid w:val="00825E9B"/>
    <w:rsid w:val="00826072"/>
    <w:rsid w:val="008302D8"/>
    <w:rsid w:val="008312FC"/>
    <w:rsid w:val="008314C5"/>
    <w:rsid w:val="00831CFA"/>
    <w:rsid w:val="008358C3"/>
    <w:rsid w:val="00836370"/>
    <w:rsid w:val="00843949"/>
    <w:rsid w:val="008458A2"/>
    <w:rsid w:val="00845F88"/>
    <w:rsid w:val="00850195"/>
    <w:rsid w:val="0085121C"/>
    <w:rsid w:val="008534B5"/>
    <w:rsid w:val="00853AF1"/>
    <w:rsid w:val="008549D1"/>
    <w:rsid w:val="00854F51"/>
    <w:rsid w:val="00854FE4"/>
    <w:rsid w:val="00855988"/>
    <w:rsid w:val="00855BA9"/>
    <w:rsid w:val="00855D53"/>
    <w:rsid w:val="00855F2C"/>
    <w:rsid w:val="0085795C"/>
    <w:rsid w:val="00860700"/>
    <w:rsid w:val="008617C4"/>
    <w:rsid w:val="00863181"/>
    <w:rsid w:val="0086438F"/>
    <w:rsid w:val="008652A0"/>
    <w:rsid w:val="008723B7"/>
    <w:rsid w:val="0087484E"/>
    <w:rsid w:val="00874AD3"/>
    <w:rsid w:val="00875B76"/>
    <w:rsid w:val="00875E12"/>
    <w:rsid w:val="0087602A"/>
    <w:rsid w:val="00876557"/>
    <w:rsid w:val="00876FF3"/>
    <w:rsid w:val="00877306"/>
    <w:rsid w:val="00881FDC"/>
    <w:rsid w:val="00885265"/>
    <w:rsid w:val="008869D0"/>
    <w:rsid w:val="00887427"/>
    <w:rsid w:val="00887A20"/>
    <w:rsid w:val="00890205"/>
    <w:rsid w:val="0089065F"/>
    <w:rsid w:val="00892A6C"/>
    <w:rsid w:val="0089478B"/>
    <w:rsid w:val="00894A57"/>
    <w:rsid w:val="00896847"/>
    <w:rsid w:val="008A0C1C"/>
    <w:rsid w:val="008A0FB4"/>
    <w:rsid w:val="008A29E8"/>
    <w:rsid w:val="008A58E9"/>
    <w:rsid w:val="008B2226"/>
    <w:rsid w:val="008B32C9"/>
    <w:rsid w:val="008B3B46"/>
    <w:rsid w:val="008B591C"/>
    <w:rsid w:val="008C3CA5"/>
    <w:rsid w:val="008C4018"/>
    <w:rsid w:val="008C5034"/>
    <w:rsid w:val="008C63BB"/>
    <w:rsid w:val="008C68B0"/>
    <w:rsid w:val="008C6D2E"/>
    <w:rsid w:val="008D3305"/>
    <w:rsid w:val="008D3C3A"/>
    <w:rsid w:val="008E5C90"/>
    <w:rsid w:val="008E5DCB"/>
    <w:rsid w:val="008E6E95"/>
    <w:rsid w:val="008E70EE"/>
    <w:rsid w:val="008E7773"/>
    <w:rsid w:val="008F0FE4"/>
    <w:rsid w:val="008F13C4"/>
    <w:rsid w:val="008F1799"/>
    <w:rsid w:val="008F1C47"/>
    <w:rsid w:val="008F4A09"/>
    <w:rsid w:val="008F62F1"/>
    <w:rsid w:val="009002E8"/>
    <w:rsid w:val="0090128C"/>
    <w:rsid w:val="00901985"/>
    <w:rsid w:val="0090213F"/>
    <w:rsid w:val="00902FBA"/>
    <w:rsid w:val="00903C82"/>
    <w:rsid w:val="00904F36"/>
    <w:rsid w:val="00907504"/>
    <w:rsid w:val="00911000"/>
    <w:rsid w:val="00912D67"/>
    <w:rsid w:val="009133B7"/>
    <w:rsid w:val="009166CE"/>
    <w:rsid w:val="00921E5F"/>
    <w:rsid w:val="00937FFB"/>
    <w:rsid w:val="00944C34"/>
    <w:rsid w:val="0094645D"/>
    <w:rsid w:val="0095058D"/>
    <w:rsid w:val="00950C42"/>
    <w:rsid w:val="00952DDD"/>
    <w:rsid w:val="00955E55"/>
    <w:rsid w:val="00956285"/>
    <w:rsid w:val="009567F0"/>
    <w:rsid w:val="00956B31"/>
    <w:rsid w:val="0095724C"/>
    <w:rsid w:val="00957926"/>
    <w:rsid w:val="00957A18"/>
    <w:rsid w:val="009600B6"/>
    <w:rsid w:val="0096120F"/>
    <w:rsid w:val="00961DF4"/>
    <w:rsid w:val="00963822"/>
    <w:rsid w:val="00966290"/>
    <w:rsid w:val="0096667F"/>
    <w:rsid w:val="009703BB"/>
    <w:rsid w:val="00972047"/>
    <w:rsid w:val="00972873"/>
    <w:rsid w:val="00972EAF"/>
    <w:rsid w:val="00973D15"/>
    <w:rsid w:val="00974A86"/>
    <w:rsid w:val="00975613"/>
    <w:rsid w:val="00981401"/>
    <w:rsid w:val="009846E2"/>
    <w:rsid w:val="00985984"/>
    <w:rsid w:val="00991E4A"/>
    <w:rsid w:val="00993608"/>
    <w:rsid w:val="00994606"/>
    <w:rsid w:val="009963D1"/>
    <w:rsid w:val="009969E2"/>
    <w:rsid w:val="00996FFA"/>
    <w:rsid w:val="0099783D"/>
    <w:rsid w:val="009A2407"/>
    <w:rsid w:val="009A4B72"/>
    <w:rsid w:val="009A53CF"/>
    <w:rsid w:val="009A5F05"/>
    <w:rsid w:val="009B1ACF"/>
    <w:rsid w:val="009B5309"/>
    <w:rsid w:val="009C1604"/>
    <w:rsid w:val="009C3AFB"/>
    <w:rsid w:val="009C7706"/>
    <w:rsid w:val="009C7A74"/>
    <w:rsid w:val="009D0144"/>
    <w:rsid w:val="009D070C"/>
    <w:rsid w:val="009D0BFE"/>
    <w:rsid w:val="009D282C"/>
    <w:rsid w:val="009D2F37"/>
    <w:rsid w:val="009D3D43"/>
    <w:rsid w:val="009D4E91"/>
    <w:rsid w:val="009D57DB"/>
    <w:rsid w:val="009D6445"/>
    <w:rsid w:val="009D6FCC"/>
    <w:rsid w:val="009D7690"/>
    <w:rsid w:val="009D7E4F"/>
    <w:rsid w:val="009E157D"/>
    <w:rsid w:val="009E3B2E"/>
    <w:rsid w:val="009E637B"/>
    <w:rsid w:val="009E64EF"/>
    <w:rsid w:val="009E7B9A"/>
    <w:rsid w:val="009F13F5"/>
    <w:rsid w:val="009F1CD8"/>
    <w:rsid w:val="009F2D7B"/>
    <w:rsid w:val="009F4165"/>
    <w:rsid w:val="009F5C2E"/>
    <w:rsid w:val="009F5E92"/>
    <w:rsid w:val="00A00705"/>
    <w:rsid w:val="00A02458"/>
    <w:rsid w:val="00A02DEC"/>
    <w:rsid w:val="00A03531"/>
    <w:rsid w:val="00A049EB"/>
    <w:rsid w:val="00A05F62"/>
    <w:rsid w:val="00A062FE"/>
    <w:rsid w:val="00A10DA3"/>
    <w:rsid w:val="00A10E9D"/>
    <w:rsid w:val="00A1108C"/>
    <w:rsid w:val="00A12491"/>
    <w:rsid w:val="00A15CEC"/>
    <w:rsid w:val="00A16152"/>
    <w:rsid w:val="00A179B0"/>
    <w:rsid w:val="00A17E6B"/>
    <w:rsid w:val="00A20405"/>
    <w:rsid w:val="00A20953"/>
    <w:rsid w:val="00A217A2"/>
    <w:rsid w:val="00A240EA"/>
    <w:rsid w:val="00A2480F"/>
    <w:rsid w:val="00A25459"/>
    <w:rsid w:val="00A25CC8"/>
    <w:rsid w:val="00A3142C"/>
    <w:rsid w:val="00A35169"/>
    <w:rsid w:val="00A3593D"/>
    <w:rsid w:val="00A3676D"/>
    <w:rsid w:val="00A371AB"/>
    <w:rsid w:val="00A37669"/>
    <w:rsid w:val="00A40153"/>
    <w:rsid w:val="00A43C11"/>
    <w:rsid w:val="00A45DCC"/>
    <w:rsid w:val="00A46899"/>
    <w:rsid w:val="00A5223F"/>
    <w:rsid w:val="00A52E00"/>
    <w:rsid w:val="00A65128"/>
    <w:rsid w:val="00A670FA"/>
    <w:rsid w:val="00A67D59"/>
    <w:rsid w:val="00A70075"/>
    <w:rsid w:val="00A700BC"/>
    <w:rsid w:val="00A707CD"/>
    <w:rsid w:val="00A70EE2"/>
    <w:rsid w:val="00A73257"/>
    <w:rsid w:val="00A74A01"/>
    <w:rsid w:val="00A75E13"/>
    <w:rsid w:val="00A76649"/>
    <w:rsid w:val="00A77051"/>
    <w:rsid w:val="00A824B9"/>
    <w:rsid w:val="00A82C2A"/>
    <w:rsid w:val="00A83592"/>
    <w:rsid w:val="00A84924"/>
    <w:rsid w:val="00A8587F"/>
    <w:rsid w:val="00A87B17"/>
    <w:rsid w:val="00A87D3D"/>
    <w:rsid w:val="00A90534"/>
    <w:rsid w:val="00A90E62"/>
    <w:rsid w:val="00A93CA9"/>
    <w:rsid w:val="00A94AEA"/>
    <w:rsid w:val="00A95B0A"/>
    <w:rsid w:val="00A95EAA"/>
    <w:rsid w:val="00A96468"/>
    <w:rsid w:val="00A966B8"/>
    <w:rsid w:val="00A96E02"/>
    <w:rsid w:val="00A97063"/>
    <w:rsid w:val="00AA0E69"/>
    <w:rsid w:val="00AA1929"/>
    <w:rsid w:val="00AA1F08"/>
    <w:rsid w:val="00AA35B7"/>
    <w:rsid w:val="00AA5530"/>
    <w:rsid w:val="00AA7E76"/>
    <w:rsid w:val="00AB2A1C"/>
    <w:rsid w:val="00AB3077"/>
    <w:rsid w:val="00AB33E4"/>
    <w:rsid w:val="00AB4A35"/>
    <w:rsid w:val="00AB55D9"/>
    <w:rsid w:val="00AB5D84"/>
    <w:rsid w:val="00AB63E9"/>
    <w:rsid w:val="00AC016A"/>
    <w:rsid w:val="00AC374E"/>
    <w:rsid w:val="00AC3C65"/>
    <w:rsid w:val="00AC6BC5"/>
    <w:rsid w:val="00AC6BFF"/>
    <w:rsid w:val="00AC70AF"/>
    <w:rsid w:val="00AD1EC0"/>
    <w:rsid w:val="00AD1FD7"/>
    <w:rsid w:val="00AD3640"/>
    <w:rsid w:val="00AD4143"/>
    <w:rsid w:val="00AD5305"/>
    <w:rsid w:val="00AD6455"/>
    <w:rsid w:val="00AD740C"/>
    <w:rsid w:val="00AE031C"/>
    <w:rsid w:val="00AE24F3"/>
    <w:rsid w:val="00AE30A8"/>
    <w:rsid w:val="00AE457B"/>
    <w:rsid w:val="00AE56DD"/>
    <w:rsid w:val="00AE6020"/>
    <w:rsid w:val="00AE637C"/>
    <w:rsid w:val="00AF4E30"/>
    <w:rsid w:val="00AF5A1C"/>
    <w:rsid w:val="00AF6608"/>
    <w:rsid w:val="00AF78B3"/>
    <w:rsid w:val="00B01B95"/>
    <w:rsid w:val="00B0297B"/>
    <w:rsid w:val="00B0329E"/>
    <w:rsid w:val="00B03A5A"/>
    <w:rsid w:val="00B03B2E"/>
    <w:rsid w:val="00B0737B"/>
    <w:rsid w:val="00B07BA5"/>
    <w:rsid w:val="00B11EF6"/>
    <w:rsid w:val="00B124AF"/>
    <w:rsid w:val="00B13134"/>
    <w:rsid w:val="00B15516"/>
    <w:rsid w:val="00B237A1"/>
    <w:rsid w:val="00B2606E"/>
    <w:rsid w:val="00B26F9F"/>
    <w:rsid w:val="00B308C1"/>
    <w:rsid w:val="00B32381"/>
    <w:rsid w:val="00B346FD"/>
    <w:rsid w:val="00B3471B"/>
    <w:rsid w:val="00B355FA"/>
    <w:rsid w:val="00B3757A"/>
    <w:rsid w:val="00B426D0"/>
    <w:rsid w:val="00B43A0C"/>
    <w:rsid w:val="00B43A47"/>
    <w:rsid w:val="00B46E4D"/>
    <w:rsid w:val="00B52806"/>
    <w:rsid w:val="00B53616"/>
    <w:rsid w:val="00B53FB7"/>
    <w:rsid w:val="00B56D8F"/>
    <w:rsid w:val="00B61E9E"/>
    <w:rsid w:val="00B63E77"/>
    <w:rsid w:val="00B646BD"/>
    <w:rsid w:val="00B652B6"/>
    <w:rsid w:val="00B6680F"/>
    <w:rsid w:val="00B70CC9"/>
    <w:rsid w:val="00B7510E"/>
    <w:rsid w:val="00B80E07"/>
    <w:rsid w:val="00B81609"/>
    <w:rsid w:val="00B83D13"/>
    <w:rsid w:val="00B84874"/>
    <w:rsid w:val="00B84B57"/>
    <w:rsid w:val="00B84FA1"/>
    <w:rsid w:val="00B877E6"/>
    <w:rsid w:val="00B87801"/>
    <w:rsid w:val="00B87F47"/>
    <w:rsid w:val="00B91BF1"/>
    <w:rsid w:val="00B9273E"/>
    <w:rsid w:val="00B970AD"/>
    <w:rsid w:val="00BA19D4"/>
    <w:rsid w:val="00BA55EE"/>
    <w:rsid w:val="00BA5B2E"/>
    <w:rsid w:val="00BA66D7"/>
    <w:rsid w:val="00BA6FBD"/>
    <w:rsid w:val="00BB029E"/>
    <w:rsid w:val="00BB1ACD"/>
    <w:rsid w:val="00BB5B1E"/>
    <w:rsid w:val="00BB71B8"/>
    <w:rsid w:val="00BC27D4"/>
    <w:rsid w:val="00BC2882"/>
    <w:rsid w:val="00BC4CB2"/>
    <w:rsid w:val="00BC5828"/>
    <w:rsid w:val="00BC6594"/>
    <w:rsid w:val="00BD0D82"/>
    <w:rsid w:val="00BD0FEE"/>
    <w:rsid w:val="00BD1ABC"/>
    <w:rsid w:val="00BD3CB9"/>
    <w:rsid w:val="00BD4B23"/>
    <w:rsid w:val="00BD567B"/>
    <w:rsid w:val="00BE1DBD"/>
    <w:rsid w:val="00BE7486"/>
    <w:rsid w:val="00BE77B2"/>
    <w:rsid w:val="00BF2A24"/>
    <w:rsid w:val="00BF2C0F"/>
    <w:rsid w:val="00BF2C94"/>
    <w:rsid w:val="00BF3921"/>
    <w:rsid w:val="00BF6B4A"/>
    <w:rsid w:val="00BF757A"/>
    <w:rsid w:val="00BF763B"/>
    <w:rsid w:val="00BF7773"/>
    <w:rsid w:val="00C0186B"/>
    <w:rsid w:val="00C02371"/>
    <w:rsid w:val="00C027FF"/>
    <w:rsid w:val="00C034F5"/>
    <w:rsid w:val="00C04D29"/>
    <w:rsid w:val="00C04D6E"/>
    <w:rsid w:val="00C04FFA"/>
    <w:rsid w:val="00C057D7"/>
    <w:rsid w:val="00C0696A"/>
    <w:rsid w:val="00C102A9"/>
    <w:rsid w:val="00C11498"/>
    <w:rsid w:val="00C11646"/>
    <w:rsid w:val="00C1170E"/>
    <w:rsid w:val="00C13459"/>
    <w:rsid w:val="00C135CF"/>
    <w:rsid w:val="00C14905"/>
    <w:rsid w:val="00C1541D"/>
    <w:rsid w:val="00C1617A"/>
    <w:rsid w:val="00C169CF"/>
    <w:rsid w:val="00C17DC6"/>
    <w:rsid w:val="00C20AB2"/>
    <w:rsid w:val="00C2261E"/>
    <w:rsid w:val="00C23366"/>
    <w:rsid w:val="00C23751"/>
    <w:rsid w:val="00C2516C"/>
    <w:rsid w:val="00C2517F"/>
    <w:rsid w:val="00C254EE"/>
    <w:rsid w:val="00C3135B"/>
    <w:rsid w:val="00C32080"/>
    <w:rsid w:val="00C3419F"/>
    <w:rsid w:val="00C36052"/>
    <w:rsid w:val="00C36B9D"/>
    <w:rsid w:val="00C3704D"/>
    <w:rsid w:val="00C400D6"/>
    <w:rsid w:val="00C41924"/>
    <w:rsid w:val="00C43A87"/>
    <w:rsid w:val="00C44D15"/>
    <w:rsid w:val="00C44D44"/>
    <w:rsid w:val="00C462DF"/>
    <w:rsid w:val="00C47439"/>
    <w:rsid w:val="00C50DB3"/>
    <w:rsid w:val="00C53F72"/>
    <w:rsid w:val="00C56083"/>
    <w:rsid w:val="00C56BD7"/>
    <w:rsid w:val="00C56DD6"/>
    <w:rsid w:val="00C61B95"/>
    <w:rsid w:val="00C61FAD"/>
    <w:rsid w:val="00C62B0C"/>
    <w:rsid w:val="00C635D9"/>
    <w:rsid w:val="00C6613C"/>
    <w:rsid w:val="00C66D2A"/>
    <w:rsid w:val="00C67484"/>
    <w:rsid w:val="00C675B8"/>
    <w:rsid w:val="00C67E78"/>
    <w:rsid w:val="00C67F94"/>
    <w:rsid w:val="00C70179"/>
    <w:rsid w:val="00C71E04"/>
    <w:rsid w:val="00C729F3"/>
    <w:rsid w:val="00C73890"/>
    <w:rsid w:val="00C77036"/>
    <w:rsid w:val="00C8256B"/>
    <w:rsid w:val="00C83D04"/>
    <w:rsid w:val="00C83F98"/>
    <w:rsid w:val="00C842B8"/>
    <w:rsid w:val="00C87D16"/>
    <w:rsid w:val="00C91924"/>
    <w:rsid w:val="00C91F52"/>
    <w:rsid w:val="00C9308B"/>
    <w:rsid w:val="00C94AA6"/>
    <w:rsid w:val="00C94F32"/>
    <w:rsid w:val="00C9591D"/>
    <w:rsid w:val="00C97FCF"/>
    <w:rsid w:val="00CA0AEE"/>
    <w:rsid w:val="00CA0DF4"/>
    <w:rsid w:val="00CA1397"/>
    <w:rsid w:val="00CA145E"/>
    <w:rsid w:val="00CA1B2C"/>
    <w:rsid w:val="00CA33F5"/>
    <w:rsid w:val="00CA4029"/>
    <w:rsid w:val="00CA659E"/>
    <w:rsid w:val="00CA71EE"/>
    <w:rsid w:val="00CA781A"/>
    <w:rsid w:val="00CB00FD"/>
    <w:rsid w:val="00CB46DF"/>
    <w:rsid w:val="00CB4B2A"/>
    <w:rsid w:val="00CB5395"/>
    <w:rsid w:val="00CB58C9"/>
    <w:rsid w:val="00CB6175"/>
    <w:rsid w:val="00CB70EE"/>
    <w:rsid w:val="00CB78F0"/>
    <w:rsid w:val="00CC11D9"/>
    <w:rsid w:val="00CC190C"/>
    <w:rsid w:val="00CC227E"/>
    <w:rsid w:val="00CC355D"/>
    <w:rsid w:val="00CC405C"/>
    <w:rsid w:val="00CC7282"/>
    <w:rsid w:val="00CC7A51"/>
    <w:rsid w:val="00CD0CF4"/>
    <w:rsid w:val="00CD1347"/>
    <w:rsid w:val="00CD1C65"/>
    <w:rsid w:val="00CD357E"/>
    <w:rsid w:val="00CD3B50"/>
    <w:rsid w:val="00CD47A9"/>
    <w:rsid w:val="00CD4F02"/>
    <w:rsid w:val="00CD61FE"/>
    <w:rsid w:val="00CD69C5"/>
    <w:rsid w:val="00CE0C4C"/>
    <w:rsid w:val="00CE2A87"/>
    <w:rsid w:val="00CE2FE0"/>
    <w:rsid w:val="00CE3E3D"/>
    <w:rsid w:val="00CE4AD9"/>
    <w:rsid w:val="00CE5844"/>
    <w:rsid w:val="00CE6DBA"/>
    <w:rsid w:val="00CF090C"/>
    <w:rsid w:val="00CF0ACB"/>
    <w:rsid w:val="00CF108A"/>
    <w:rsid w:val="00CF4054"/>
    <w:rsid w:val="00CF42C9"/>
    <w:rsid w:val="00CF457B"/>
    <w:rsid w:val="00CF4D23"/>
    <w:rsid w:val="00CF4F13"/>
    <w:rsid w:val="00CF59FE"/>
    <w:rsid w:val="00CF6389"/>
    <w:rsid w:val="00D00E85"/>
    <w:rsid w:val="00D021C4"/>
    <w:rsid w:val="00D023C3"/>
    <w:rsid w:val="00D0426F"/>
    <w:rsid w:val="00D06614"/>
    <w:rsid w:val="00D06F15"/>
    <w:rsid w:val="00D073CB"/>
    <w:rsid w:val="00D07413"/>
    <w:rsid w:val="00D07491"/>
    <w:rsid w:val="00D1237C"/>
    <w:rsid w:val="00D12950"/>
    <w:rsid w:val="00D12F0B"/>
    <w:rsid w:val="00D130B1"/>
    <w:rsid w:val="00D145DB"/>
    <w:rsid w:val="00D159EE"/>
    <w:rsid w:val="00D20DC4"/>
    <w:rsid w:val="00D21DB7"/>
    <w:rsid w:val="00D24079"/>
    <w:rsid w:val="00D277C0"/>
    <w:rsid w:val="00D27E95"/>
    <w:rsid w:val="00D31A84"/>
    <w:rsid w:val="00D33E09"/>
    <w:rsid w:val="00D400CC"/>
    <w:rsid w:val="00D42C00"/>
    <w:rsid w:val="00D4337F"/>
    <w:rsid w:val="00D43CC5"/>
    <w:rsid w:val="00D44B43"/>
    <w:rsid w:val="00D46960"/>
    <w:rsid w:val="00D474DD"/>
    <w:rsid w:val="00D475C5"/>
    <w:rsid w:val="00D52942"/>
    <w:rsid w:val="00D5306A"/>
    <w:rsid w:val="00D55ED6"/>
    <w:rsid w:val="00D55FD4"/>
    <w:rsid w:val="00D571A2"/>
    <w:rsid w:val="00D6725B"/>
    <w:rsid w:val="00D677F9"/>
    <w:rsid w:val="00D70C31"/>
    <w:rsid w:val="00D719B1"/>
    <w:rsid w:val="00D71F6E"/>
    <w:rsid w:val="00D72BE2"/>
    <w:rsid w:val="00D72DBA"/>
    <w:rsid w:val="00D740F5"/>
    <w:rsid w:val="00D74AD8"/>
    <w:rsid w:val="00D75DF5"/>
    <w:rsid w:val="00D76657"/>
    <w:rsid w:val="00D77324"/>
    <w:rsid w:val="00D80F1C"/>
    <w:rsid w:val="00D8162F"/>
    <w:rsid w:val="00D81996"/>
    <w:rsid w:val="00D833B2"/>
    <w:rsid w:val="00D84F5D"/>
    <w:rsid w:val="00D86E1F"/>
    <w:rsid w:val="00D903E7"/>
    <w:rsid w:val="00D90AA3"/>
    <w:rsid w:val="00D91A53"/>
    <w:rsid w:val="00DA28B2"/>
    <w:rsid w:val="00DA52B8"/>
    <w:rsid w:val="00DA6577"/>
    <w:rsid w:val="00DA6BB2"/>
    <w:rsid w:val="00DB1992"/>
    <w:rsid w:val="00DB2008"/>
    <w:rsid w:val="00DB7B31"/>
    <w:rsid w:val="00DC22C5"/>
    <w:rsid w:val="00DC247F"/>
    <w:rsid w:val="00DC346E"/>
    <w:rsid w:val="00DC4030"/>
    <w:rsid w:val="00DC53D0"/>
    <w:rsid w:val="00DC5F86"/>
    <w:rsid w:val="00DC7CD4"/>
    <w:rsid w:val="00DD0702"/>
    <w:rsid w:val="00DD0F06"/>
    <w:rsid w:val="00DD3215"/>
    <w:rsid w:val="00DD3527"/>
    <w:rsid w:val="00DD4693"/>
    <w:rsid w:val="00DD5191"/>
    <w:rsid w:val="00DD6DDE"/>
    <w:rsid w:val="00DD7309"/>
    <w:rsid w:val="00DE1745"/>
    <w:rsid w:val="00DE3F36"/>
    <w:rsid w:val="00DE5957"/>
    <w:rsid w:val="00DE638C"/>
    <w:rsid w:val="00DE715B"/>
    <w:rsid w:val="00DF31AE"/>
    <w:rsid w:val="00DF3655"/>
    <w:rsid w:val="00E02682"/>
    <w:rsid w:val="00E0439F"/>
    <w:rsid w:val="00E05345"/>
    <w:rsid w:val="00E0691F"/>
    <w:rsid w:val="00E0710D"/>
    <w:rsid w:val="00E104AA"/>
    <w:rsid w:val="00E1196E"/>
    <w:rsid w:val="00E120D2"/>
    <w:rsid w:val="00E144C3"/>
    <w:rsid w:val="00E154D7"/>
    <w:rsid w:val="00E16007"/>
    <w:rsid w:val="00E16073"/>
    <w:rsid w:val="00E16C5E"/>
    <w:rsid w:val="00E210E5"/>
    <w:rsid w:val="00E22B5B"/>
    <w:rsid w:val="00E2372D"/>
    <w:rsid w:val="00E2609F"/>
    <w:rsid w:val="00E2793B"/>
    <w:rsid w:val="00E30E0B"/>
    <w:rsid w:val="00E31053"/>
    <w:rsid w:val="00E3342F"/>
    <w:rsid w:val="00E361C1"/>
    <w:rsid w:val="00E3721F"/>
    <w:rsid w:val="00E4081B"/>
    <w:rsid w:val="00E41826"/>
    <w:rsid w:val="00E42F73"/>
    <w:rsid w:val="00E4455D"/>
    <w:rsid w:val="00E449F8"/>
    <w:rsid w:val="00E451E9"/>
    <w:rsid w:val="00E452DB"/>
    <w:rsid w:val="00E45DA5"/>
    <w:rsid w:val="00E54688"/>
    <w:rsid w:val="00E64CDB"/>
    <w:rsid w:val="00E65258"/>
    <w:rsid w:val="00E65289"/>
    <w:rsid w:val="00E665C8"/>
    <w:rsid w:val="00E666F8"/>
    <w:rsid w:val="00E66E2D"/>
    <w:rsid w:val="00E66EA7"/>
    <w:rsid w:val="00E70183"/>
    <w:rsid w:val="00E70F8F"/>
    <w:rsid w:val="00E76286"/>
    <w:rsid w:val="00E769C3"/>
    <w:rsid w:val="00E775B6"/>
    <w:rsid w:val="00E81997"/>
    <w:rsid w:val="00E81E8E"/>
    <w:rsid w:val="00E8424E"/>
    <w:rsid w:val="00E846A5"/>
    <w:rsid w:val="00E84D42"/>
    <w:rsid w:val="00E86C32"/>
    <w:rsid w:val="00E873CB"/>
    <w:rsid w:val="00E877D1"/>
    <w:rsid w:val="00E90DBE"/>
    <w:rsid w:val="00E92219"/>
    <w:rsid w:val="00E92BA8"/>
    <w:rsid w:val="00E943AC"/>
    <w:rsid w:val="00E963D0"/>
    <w:rsid w:val="00E97C94"/>
    <w:rsid w:val="00EA1D0C"/>
    <w:rsid w:val="00EA2403"/>
    <w:rsid w:val="00EA3843"/>
    <w:rsid w:val="00EA410C"/>
    <w:rsid w:val="00EA4129"/>
    <w:rsid w:val="00EA41A0"/>
    <w:rsid w:val="00EA4D74"/>
    <w:rsid w:val="00EA5381"/>
    <w:rsid w:val="00EA6BCB"/>
    <w:rsid w:val="00EA7C0A"/>
    <w:rsid w:val="00EB0033"/>
    <w:rsid w:val="00EB04AF"/>
    <w:rsid w:val="00EB05AB"/>
    <w:rsid w:val="00EB0751"/>
    <w:rsid w:val="00EB3B05"/>
    <w:rsid w:val="00EB485D"/>
    <w:rsid w:val="00EB6D6D"/>
    <w:rsid w:val="00EC0826"/>
    <w:rsid w:val="00EC1BF4"/>
    <w:rsid w:val="00EC3BAA"/>
    <w:rsid w:val="00EC4394"/>
    <w:rsid w:val="00EC4A71"/>
    <w:rsid w:val="00EC7E27"/>
    <w:rsid w:val="00ED0B82"/>
    <w:rsid w:val="00ED152E"/>
    <w:rsid w:val="00EE0F3D"/>
    <w:rsid w:val="00EE2E25"/>
    <w:rsid w:val="00EF223A"/>
    <w:rsid w:val="00EF2B45"/>
    <w:rsid w:val="00EF3946"/>
    <w:rsid w:val="00EF3BF0"/>
    <w:rsid w:val="00EF4CFA"/>
    <w:rsid w:val="00EF6620"/>
    <w:rsid w:val="00F0001C"/>
    <w:rsid w:val="00F064B4"/>
    <w:rsid w:val="00F06B6B"/>
    <w:rsid w:val="00F12B1F"/>
    <w:rsid w:val="00F142BF"/>
    <w:rsid w:val="00F14CFE"/>
    <w:rsid w:val="00F152CB"/>
    <w:rsid w:val="00F1531E"/>
    <w:rsid w:val="00F15FF6"/>
    <w:rsid w:val="00F16C3C"/>
    <w:rsid w:val="00F16E00"/>
    <w:rsid w:val="00F16E50"/>
    <w:rsid w:val="00F16E90"/>
    <w:rsid w:val="00F2016D"/>
    <w:rsid w:val="00F204EC"/>
    <w:rsid w:val="00F20F64"/>
    <w:rsid w:val="00F23F20"/>
    <w:rsid w:val="00F2547F"/>
    <w:rsid w:val="00F277BE"/>
    <w:rsid w:val="00F278FC"/>
    <w:rsid w:val="00F30E4D"/>
    <w:rsid w:val="00F31AC4"/>
    <w:rsid w:val="00F337B3"/>
    <w:rsid w:val="00F35D4D"/>
    <w:rsid w:val="00F35EA0"/>
    <w:rsid w:val="00F400FA"/>
    <w:rsid w:val="00F413DD"/>
    <w:rsid w:val="00F43FB5"/>
    <w:rsid w:val="00F4547B"/>
    <w:rsid w:val="00F47859"/>
    <w:rsid w:val="00F51545"/>
    <w:rsid w:val="00F522D2"/>
    <w:rsid w:val="00F60497"/>
    <w:rsid w:val="00F60B82"/>
    <w:rsid w:val="00F60D96"/>
    <w:rsid w:val="00F62A4E"/>
    <w:rsid w:val="00F652CD"/>
    <w:rsid w:val="00F669BF"/>
    <w:rsid w:val="00F71641"/>
    <w:rsid w:val="00F71803"/>
    <w:rsid w:val="00F719A4"/>
    <w:rsid w:val="00F728FB"/>
    <w:rsid w:val="00F72B93"/>
    <w:rsid w:val="00F7333C"/>
    <w:rsid w:val="00F733B0"/>
    <w:rsid w:val="00F73780"/>
    <w:rsid w:val="00F74E2F"/>
    <w:rsid w:val="00F74FD4"/>
    <w:rsid w:val="00F7689E"/>
    <w:rsid w:val="00F772D5"/>
    <w:rsid w:val="00F77622"/>
    <w:rsid w:val="00F830B1"/>
    <w:rsid w:val="00F84B6D"/>
    <w:rsid w:val="00F86A5E"/>
    <w:rsid w:val="00F875B7"/>
    <w:rsid w:val="00F930FF"/>
    <w:rsid w:val="00F956D6"/>
    <w:rsid w:val="00F95D71"/>
    <w:rsid w:val="00F97FF8"/>
    <w:rsid w:val="00FA071F"/>
    <w:rsid w:val="00FA202B"/>
    <w:rsid w:val="00FA2435"/>
    <w:rsid w:val="00FA3283"/>
    <w:rsid w:val="00FA516F"/>
    <w:rsid w:val="00FB12E6"/>
    <w:rsid w:val="00FB1768"/>
    <w:rsid w:val="00FB1E1A"/>
    <w:rsid w:val="00FB393F"/>
    <w:rsid w:val="00FB74A2"/>
    <w:rsid w:val="00FC32AF"/>
    <w:rsid w:val="00FC3B1E"/>
    <w:rsid w:val="00FC661E"/>
    <w:rsid w:val="00FC7A92"/>
    <w:rsid w:val="00FD21F5"/>
    <w:rsid w:val="00FD2BB0"/>
    <w:rsid w:val="00FD38D7"/>
    <w:rsid w:val="00FD5526"/>
    <w:rsid w:val="00FD5FE0"/>
    <w:rsid w:val="00FE2512"/>
    <w:rsid w:val="00FE3620"/>
    <w:rsid w:val="00FE435B"/>
    <w:rsid w:val="00FE5161"/>
    <w:rsid w:val="00FE55F2"/>
    <w:rsid w:val="00FF103C"/>
    <w:rsid w:val="00FF133B"/>
    <w:rsid w:val="00FF1D27"/>
    <w:rsid w:val="00FF28D0"/>
    <w:rsid w:val="00FF50DE"/>
    <w:rsid w:val="00FF559D"/>
    <w:rsid w:val="00FF6EF4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4AD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20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36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5295C"/>
    <w:pPr>
      <w:tabs>
        <w:tab w:val="center" w:pos="4703"/>
        <w:tab w:val="right" w:pos="9406"/>
      </w:tabs>
      <w:spacing w:after="0" w:line="240" w:lineRule="auto"/>
    </w:pPr>
    <w:rPr>
      <w:rFonts w:eastAsia="Calibri"/>
    </w:rPr>
  </w:style>
  <w:style w:type="character" w:customStyle="1" w:styleId="NagwekZnak">
    <w:name w:val="Nagłówek Znak"/>
    <w:basedOn w:val="Domylnaczcionkaakapitu"/>
    <w:link w:val="Nagwek"/>
    <w:uiPriority w:val="99"/>
    <w:rsid w:val="0015295C"/>
  </w:style>
  <w:style w:type="paragraph" w:styleId="Stopka">
    <w:name w:val="footer"/>
    <w:basedOn w:val="Normalny"/>
    <w:link w:val="StopkaZnak"/>
    <w:uiPriority w:val="99"/>
    <w:unhideWhenUsed/>
    <w:rsid w:val="0015295C"/>
    <w:pPr>
      <w:tabs>
        <w:tab w:val="center" w:pos="4703"/>
        <w:tab w:val="right" w:pos="9406"/>
      </w:tabs>
      <w:spacing w:after="0" w:line="240" w:lineRule="auto"/>
    </w:pPr>
    <w:rPr>
      <w:rFonts w:eastAsia="Calibri"/>
    </w:rPr>
  </w:style>
  <w:style w:type="character" w:customStyle="1" w:styleId="StopkaZnak">
    <w:name w:val="Stopka Znak"/>
    <w:basedOn w:val="Domylnaczcionkaakapitu"/>
    <w:link w:val="Stopka"/>
    <w:uiPriority w:val="99"/>
    <w:rsid w:val="0015295C"/>
  </w:style>
  <w:style w:type="paragraph" w:styleId="Tekstdymka">
    <w:name w:val="Balloon Text"/>
    <w:basedOn w:val="Normalny"/>
    <w:link w:val="TekstdymkaZnak"/>
    <w:uiPriority w:val="99"/>
    <w:semiHidden/>
    <w:unhideWhenUsed/>
    <w:rsid w:val="0015295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5295C"/>
    <w:rPr>
      <w:rFonts w:ascii="Tahoma" w:hAnsi="Tahoma" w:cs="Tahoma"/>
      <w:sz w:val="16"/>
      <w:szCs w:val="16"/>
    </w:rPr>
  </w:style>
  <w:style w:type="paragraph" w:customStyle="1" w:styleId="A1">
    <w:name w:val="A1"/>
    <w:basedOn w:val="Normalny"/>
    <w:rsid w:val="005774A8"/>
    <w:pPr>
      <w:spacing w:before="120" w:after="120" w:line="240" w:lineRule="auto"/>
      <w:ind w:firstLine="284"/>
      <w:jc w:val="both"/>
    </w:pPr>
    <w:rPr>
      <w:rFonts w:ascii="Times New Roman" w:hAnsi="Times New Roman"/>
      <w:lang w:eastAsia="pl-PL"/>
    </w:rPr>
  </w:style>
  <w:style w:type="character" w:styleId="Numerstrony">
    <w:name w:val="page number"/>
    <w:basedOn w:val="Domylnaczcionkaakapitu"/>
    <w:rsid w:val="00BF7773"/>
  </w:style>
  <w:style w:type="table" w:styleId="Tabela-Siatka">
    <w:name w:val="Table Grid"/>
    <w:basedOn w:val="Standardowy"/>
    <w:rsid w:val="00753A4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"/>
    <w:basedOn w:val="Normalny"/>
    <w:link w:val="TekstprzypisudolnegoZnak"/>
    <w:semiHidden/>
    <w:rsid w:val="00887A20"/>
    <w:rPr>
      <w:sz w:val="20"/>
      <w:szCs w:val="20"/>
    </w:rPr>
  </w:style>
  <w:style w:type="character" w:styleId="Odwoanieprzypisudolnego">
    <w:name w:val="footnote reference"/>
    <w:aliases w:val="Footnote Reference Superscript,BVI fnr,Footnote symbol,16 Point,Superscript 6 Point,Footnote Reference Number,Footnote Reference_LVL6,Footnote Reference_LVL61,Footnote Reference_LVL62,Footnote Reference_LVL63"/>
    <w:uiPriority w:val="99"/>
    <w:rsid w:val="00887A20"/>
    <w:rPr>
      <w:vertAlign w:val="superscript"/>
    </w:rPr>
  </w:style>
  <w:style w:type="character" w:styleId="Pogrubienie">
    <w:name w:val="Strong"/>
    <w:uiPriority w:val="22"/>
    <w:qFormat/>
    <w:rsid w:val="005873F6"/>
    <w:rPr>
      <w:b/>
      <w:bCs/>
    </w:rPr>
  </w:style>
  <w:style w:type="character" w:customStyle="1" w:styleId="TekstprzypisudolnegoZnak">
    <w:name w:val="Tekst przypisu dolnego Znak"/>
    <w:aliases w:val="Podrozdział Znak"/>
    <w:link w:val="Tekstprzypisudolnego"/>
    <w:semiHidden/>
    <w:locked/>
    <w:rsid w:val="00FB12E6"/>
    <w:rPr>
      <w:rFonts w:ascii="Calibri" w:hAnsi="Calibri"/>
      <w:lang w:val="pl-PL" w:eastAsia="en-US" w:bidi="ar-SA"/>
    </w:rPr>
  </w:style>
  <w:style w:type="paragraph" w:styleId="Tekstpodstawowy">
    <w:name w:val="Body Text"/>
    <w:aliases w:val="b,bt,szaro,b1,Tekst podstawowy Znak Znak Znak Znak Znak Znak Znak Znak"/>
    <w:basedOn w:val="Normalny"/>
    <w:link w:val="TekstpodstawowyZnak"/>
    <w:rsid w:val="00FE3620"/>
    <w:pPr>
      <w:spacing w:after="120" w:line="360" w:lineRule="auto"/>
      <w:jc w:val="both"/>
    </w:pPr>
    <w:rPr>
      <w:rFonts w:ascii="Arial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b Znak,bt Znak,szaro Znak,b1 Znak,Tekst podstawowy Znak Znak Znak Znak Znak Znak Znak Znak Znak"/>
    <w:link w:val="Tekstpodstawowy"/>
    <w:rsid w:val="00FE3620"/>
    <w:rPr>
      <w:rFonts w:ascii="Arial" w:hAnsi="Arial" w:cs="Arial"/>
      <w:sz w:val="24"/>
      <w:szCs w:val="24"/>
      <w:lang w:val="pl-PL" w:eastAsia="pl-PL" w:bidi="ar-SA"/>
    </w:rPr>
  </w:style>
  <w:style w:type="paragraph" w:customStyle="1" w:styleId="Tekstpodstawowy21">
    <w:name w:val="Tekst podstawowy 21"/>
    <w:basedOn w:val="Normalny"/>
    <w:rsid w:val="00FD2BB0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rsid w:val="000D1F2D"/>
    <w:pPr>
      <w:spacing w:after="120" w:line="480" w:lineRule="auto"/>
    </w:pPr>
  </w:style>
  <w:style w:type="paragraph" w:customStyle="1" w:styleId="akapit">
    <w:name w:val="akapit"/>
    <w:basedOn w:val="Normalny"/>
    <w:rsid w:val="000D1F2D"/>
    <w:pPr>
      <w:spacing w:after="240" w:line="360" w:lineRule="atLeast"/>
      <w:ind w:firstLine="426"/>
      <w:jc w:val="both"/>
    </w:pPr>
    <w:rPr>
      <w:rFonts w:ascii="Arial PL" w:hAnsi="Arial PL"/>
      <w:sz w:val="26"/>
      <w:szCs w:val="20"/>
      <w:lang w:val="en-US" w:eastAsia="pl-PL"/>
    </w:rPr>
  </w:style>
  <w:style w:type="character" w:customStyle="1" w:styleId="Nagwek1Znak">
    <w:name w:val="Nagłówek 1 Znak"/>
    <w:link w:val="Nagwek1"/>
    <w:uiPriority w:val="9"/>
    <w:rsid w:val="00C3208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A3676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3676D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3676D"/>
  </w:style>
  <w:style w:type="paragraph" w:styleId="Spistreci2">
    <w:name w:val="toc 2"/>
    <w:basedOn w:val="Normalny"/>
    <w:next w:val="Normalny"/>
    <w:autoRedefine/>
    <w:uiPriority w:val="39"/>
    <w:unhideWhenUsed/>
    <w:rsid w:val="00A3676D"/>
    <w:pPr>
      <w:ind w:left="220"/>
    </w:pPr>
  </w:style>
  <w:style w:type="character" w:styleId="Hipercze">
    <w:name w:val="Hyperlink"/>
    <w:uiPriority w:val="99"/>
    <w:unhideWhenUsed/>
    <w:rsid w:val="00A3676D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C94AA6"/>
    <w:rPr>
      <w:color w:val="800080"/>
      <w:u w:val="single"/>
    </w:rPr>
  </w:style>
  <w:style w:type="character" w:customStyle="1" w:styleId="apple-converted-space">
    <w:name w:val="apple-converted-space"/>
    <w:rsid w:val="009C770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0E9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10E9D"/>
    <w:rPr>
      <w:rFonts w:eastAsia="Times New Roman"/>
      <w:lang w:eastAsia="en-US"/>
    </w:rPr>
  </w:style>
  <w:style w:type="character" w:styleId="Odwoanieprzypisukocowego">
    <w:name w:val="endnote reference"/>
    <w:uiPriority w:val="99"/>
    <w:semiHidden/>
    <w:unhideWhenUsed/>
    <w:rsid w:val="00A10E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CD4F02"/>
    <w:pPr>
      <w:ind w:left="720"/>
      <w:contextualSpacing/>
    </w:pPr>
  </w:style>
  <w:style w:type="paragraph" w:customStyle="1" w:styleId="CM11">
    <w:name w:val="CM1+1"/>
    <w:basedOn w:val="Normalny"/>
    <w:next w:val="Normalny"/>
    <w:uiPriority w:val="99"/>
    <w:rsid w:val="009A53CF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/>
      <w:sz w:val="24"/>
      <w:szCs w:val="24"/>
      <w:lang w:eastAsia="pl-PL"/>
    </w:rPr>
  </w:style>
  <w:style w:type="paragraph" w:customStyle="1" w:styleId="CM31">
    <w:name w:val="CM3+1"/>
    <w:basedOn w:val="Normalny"/>
    <w:next w:val="Normalny"/>
    <w:uiPriority w:val="99"/>
    <w:rsid w:val="009A53CF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B652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2B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652B6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2B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652B6"/>
    <w:rPr>
      <w:rFonts w:eastAsia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4AD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20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36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5295C"/>
    <w:pPr>
      <w:tabs>
        <w:tab w:val="center" w:pos="4703"/>
        <w:tab w:val="right" w:pos="9406"/>
      </w:tabs>
      <w:spacing w:after="0" w:line="240" w:lineRule="auto"/>
    </w:pPr>
    <w:rPr>
      <w:rFonts w:eastAsia="Calibri"/>
    </w:rPr>
  </w:style>
  <w:style w:type="character" w:customStyle="1" w:styleId="NagwekZnak">
    <w:name w:val="Nagłówek Znak"/>
    <w:basedOn w:val="Domylnaczcionkaakapitu"/>
    <w:link w:val="Nagwek"/>
    <w:uiPriority w:val="99"/>
    <w:rsid w:val="0015295C"/>
  </w:style>
  <w:style w:type="paragraph" w:styleId="Stopka">
    <w:name w:val="footer"/>
    <w:basedOn w:val="Normalny"/>
    <w:link w:val="StopkaZnak"/>
    <w:uiPriority w:val="99"/>
    <w:unhideWhenUsed/>
    <w:rsid w:val="0015295C"/>
    <w:pPr>
      <w:tabs>
        <w:tab w:val="center" w:pos="4703"/>
        <w:tab w:val="right" w:pos="9406"/>
      </w:tabs>
      <w:spacing w:after="0" w:line="240" w:lineRule="auto"/>
    </w:pPr>
    <w:rPr>
      <w:rFonts w:eastAsia="Calibri"/>
    </w:rPr>
  </w:style>
  <w:style w:type="character" w:customStyle="1" w:styleId="StopkaZnak">
    <w:name w:val="Stopka Znak"/>
    <w:basedOn w:val="Domylnaczcionkaakapitu"/>
    <w:link w:val="Stopka"/>
    <w:uiPriority w:val="99"/>
    <w:rsid w:val="0015295C"/>
  </w:style>
  <w:style w:type="paragraph" w:styleId="Tekstdymka">
    <w:name w:val="Balloon Text"/>
    <w:basedOn w:val="Normalny"/>
    <w:link w:val="TekstdymkaZnak"/>
    <w:uiPriority w:val="99"/>
    <w:semiHidden/>
    <w:unhideWhenUsed/>
    <w:rsid w:val="0015295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5295C"/>
    <w:rPr>
      <w:rFonts w:ascii="Tahoma" w:hAnsi="Tahoma" w:cs="Tahoma"/>
      <w:sz w:val="16"/>
      <w:szCs w:val="16"/>
    </w:rPr>
  </w:style>
  <w:style w:type="paragraph" w:customStyle="1" w:styleId="A1">
    <w:name w:val="A1"/>
    <w:basedOn w:val="Normalny"/>
    <w:rsid w:val="005774A8"/>
    <w:pPr>
      <w:spacing w:before="120" w:after="120" w:line="240" w:lineRule="auto"/>
      <w:ind w:firstLine="284"/>
      <w:jc w:val="both"/>
    </w:pPr>
    <w:rPr>
      <w:rFonts w:ascii="Times New Roman" w:hAnsi="Times New Roman"/>
      <w:lang w:eastAsia="pl-PL"/>
    </w:rPr>
  </w:style>
  <w:style w:type="character" w:styleId="Numerstrony">
    <w:name w:val="page number"/>
    <w:basedOn w:val="Domylnaczcionkaakapitu"/>
    <w:rsid w:val="00BF7773"/>
  </w:style>
  <w:style w:type="table" w:styleId="Tabela-Siatka">
    <w:name w:val="Table Grid"/>
    <w:basedOn w:val="Standardowy"/>
    <w:rsid w:val="00753A4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"/>
    <w:basedOn w:val="Normalny"/>
    <w:link w:val="TekstprzypisudolnegoZnak"/>
    <w:semiHidden/>
    <w:rsid w:val="00887A20"/>
    <w:rPr>
      <w:sz w:val="20"/>
      <w:szCs w:val="20"/>
    </w:rPr>
  </w:style>
  <w:style w:type="character" w:styleId="Odwoanieprzypisudolnego">
    <w:name w:val="footnote reference"/>
    <w:aliases w:val="Footnote Reference Superscript,BVI fnr,Footnote symbol,16 Point,Superscript 6 Point,Footnote Reference Number,Footnote Reference_LVL6,Footnote Reference_LVL61,Footnote Reference_LVL62,Footnote Reference_LVL63"/>
    <w:uiPriority w:val="99"/>
    <w:rsid w:val="00887A20"/>
    <w:rPr>
      <w:vertAlign w:val="superscript"/>
    </w:rPr>
  </w:style>
  <w:style w:type="character" w:styleId="Pogrubienie">
    <w:name w:val="Strong"/>
    <w:uiPriority w:val="22"/>
    <w:qFormat/>
    <w:rsid w:val="005873F6"/>
    <w:rPr>
      <w:b/>
      <w:bCs/>
    </w:rPr>
  </w:style>
  <w:style w:type="character" w:customStyle="1" w:styleId="TekstprzypisudolnegoZnak">
    <w:name w:val="Tekst przypisu dolnego Znak"/>
    <w:aliases w:val="Podrozdział Znak"/>
    <w:link w:val="Tekstprzypisudolnego"/>
    <w:semiHidden/>
    <w:locked/>
    <w:rsid w:val="00FB12E6"/>
    <w:rPr>
      <w:rFonts w:ascii="Calibri" w:hAnsi="Calibri"/>
      <w:lang w:val="pl-PL" w:eastAsia="en-US" w:bidi="ar-SA"/>
    </w:rPr>
  </w:style>
  <w:style w:type="paragraph" w:styleId="Tekstpodstawowy">
    <w:name w:val="Body Text"/>
    <w:aliases w:val="b,bt,szaro,b1,Tekst podstawowy Znak Znak Znak Znak Znak Znak Znak Znak"/>
    <w:basedOn w:val="Normalny"/>
    <w:link w:val="TekstpodstawowyZnak"/>
    <w:rsid w:val="00FE3620"/>
    <w:pPr>
      <w:spacing w:after="120" w:line="360" w:lineRule="auto"/>
      <w:jc w:val="both"/>
    </w:pPr>
    <w:rPr>
      <w:rFonts w:ascii="Arial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b Znak,bt Znak,szaro Znak,b1 Znak,Tekst podstawowy Znak Znak Znak Znak Znak Znak Znak Znak Znak"/>
    <w:link w:val="Tekstpodstawowy"/>
    <w:rsid w:val="00FE3620"/>
    <w:rPr>
      <w:rFonts w:ascii="Arial" w:hAnsi="Arial" w:cs="Arial"/>
      <w:sz w:val="24"/>
      <w:szCs w:val="24"/>
      <w:lang w:val="pl-PL" w:eastAsia="pl-PL" w:bidi="ar-SA"/>
    </w:rPr>
  </w:style>
  <w:style w:type="paragraph" w:customStyle="1" w:styleId="Tekstpodstawowy21">
    <w:name w:val="Tekst podstawowy 21"/>
    <w:basedOn w:val="Normalny"/>
    <w:rsid w:val="00FD2BB0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rsid w:val="000D1F2D"/>
    <w:pPr>
      <w:spacing w:after="120" w:line="480" w:lineRule="auto"/>
    </w:pPr>
  </w:style>
  <w:style w:type="paragraph" w:customStyle="1" w:styleId="akapit">
    <w:name w:val="akapit"/>
    <w:basedOn w:val="Normalny"/>
    <w:rsid w:val="000D1F2D"/>
    <w:pPr>
      <w:spacing w:after="240" w:line="360" w:lineRule="atLeast"/>
      <w:ind w:firstLine="426"/>
      <w:jc w:val="both"/>
    </w:pPr>
    <w:rPr>
      <w:rFonts w:ascii="Arial PL" w:hAnsi="Arial PL"/>
      <w:sz w:val="26"/>
      <w:szCs w:val="20"/>
      <w:lang w:val="en-US" w:eastAsia="pl-PL"/>
    </w:rPr>
  </w:style>
  <w:style w:type="character" w:customStyle="1" w:styleId="Nagwek1Znak">
    <w:name w:val="Nagłówek 1 Znak"/>
    <w:link w:val="Nagwek1"/>
    <w:uiPriority w:val="9"/>
    <w:rsid w:val="00C3208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A3676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3676D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3676D"/>
  </w:style>
  <w:style w:type="paragraph" w:styleId="Spistreci2">
    <w:name w:val="toc 2"/>
    <w:basedOn w:val="Normalny"/>
    <w:next w:val="Normalny"/>
    <w:autoRedefine/>
    <w:uiPriority w:val="39"/>
    <w:unhideWhenUsed/>
    <w:rsid w:val="00A3676D"/>
    <w:pPr>
      <w:ind w:left="220"/>
    </w:pPr>
  </w:style>
  <w:style w:type="character" w:styleId="Hipercze">
    <w:name w:val="Hyperlink"/>
    <w:uiPriority w:val="99"/>
    <w:unhideWhenUsed/>
    <w:rsid w:val="00A3676D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C94AA6"/>
    <w:rPr>
      <w:color w:val="800080"/>
      <w:u w:val="single"/>
    </w:rPr>
  </w:style>
  <w:style w:type="character" w:customStyle="1" w:styleId="apple-converted-space">
    <w:name w:val="apple-converted-space"/>
    <w:rsid w:val="009C770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0E9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10E9D"/>
    <w:rPr>
      <w:rFonts w:eastAsia="Times New Roman"/>
      <w:lang w:eastAsia="en-US"/>
    </w:rPr>
  </w:style>
  <w:style w:type="character" w:styleId="Odwoanieprzypisukocowego">
    <w:name w:val="endnote reference"/>
    <w:uiPriority w:val="99"/>
    <w:semiHidden/>
    <w:unhideWhenUsed/>
    <w:rsid w:val="00A10E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CD4F02"/>
    <w:pPr>
      <w:ind w:left="720"/>
      <w:contextualSpacing/>
    </w:pPr>
  </w:style>
  <w:style w:type="paragraph" w:customStyle="1" w:styleId="CM11">
    <w:name w:val="CM1+1"/>
    <w:basedOn w:val="Normalny"/>
    <w:next w:val="Normalny"/>
    <w:uiPriority w:val="99"/>
    <w:rsid w:val="009A53CF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/>
      <w:sz w:val="24"/>
      <w:szCs w:val="24"/>
      <w:lang w:eastAsia="pl-PL"/>
    </w:rPr>
  </w:style>
  <w:style w:type="paragraph" w:customStyle="1" w:styleId="CM31">
    <w:name w:val="CM3+1"/>
    <w:basedOn w:val="Normalny"/>
    <w:next w:val="Normalny"/>
    <w:uiPriority w:val="99"/>
    <w:rsid w:val="009A53CF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B652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2B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652B6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2B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652B6"/>
    <w:rPr>
      <w:rFonts w:eastAsia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stat.gov.pl/obszary-tematyczne/rachunki-narodowe/europejski-system-rachunkow-narodowych-i-regionalnych-esa-2010/rozporzadzenie-parlamentu-europejskiego-i-rady-ue-nr-5492013-z-dnia-21-maja-2013-r-,1,1.html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mf.gov.pl/documents/764034/1002148/metodologia+wersja+polska2001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isap.sejm.gov.pl/DetailsServlet?id=WDU20091571240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N-AIZ\Pulpit\MF%20okladka%20raportu%20B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0200668896321072E-2"/>
          <c:y val="2.6177046317957673E-2"/>
          <c:w val="0.93979933110367897"/>
          <c:h val="0.79962613963105034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Arkusz1!$M$2</c:f>
              <c:strCache>
                <c:ptCount val="1"/>
                <c:pt idx="0">
                  <c:v>wynik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multiLvlStrRef>
              <c:f>Arkusz1!$K$3:$L$14</c:f>
              <c:multiLvlStrCache>
                <c:ptCount val="12"/>
                <c:lvl>
                  <c:pt idx="0">
                    <c:v>II kw.</c:v>
                  </c:pt>
                  <c:pt idx="1">
                    <c:v>III kw.</c:v>
                  </c:pt>
                  <c:pt idx="2">
                    <c:v>IV kw.</c:v>
                  </c:pt>
                  <c:pt idx="3">
                    <c:v>I kw.</c:v>
                  </c:pt>
                  <c:pt idx="4">
                    <c:v>II kw.</c:v>
                  </c:pt>
                  <c:pt idx="5">
                    <c:v>III kw.</c:v>
                  </c:pt>
                  <c:pt idx="6">
                    <c:v>IV kw.</c:v>
                  </c:pt>
                  <c:pt idx="7">
                    <c:v>I kw.</c:v>
                  </c:pt>
                  <c:pt idx="8">
                    <c:v>II kw.</c:v>
                  </c:pt>
                  <c:pt idx="9">
                    <c:v>III kw.</c:v>
                  </c:pt>
                  <c:pt idx="10">
                    <c:v>IV kw.</c:v>
                  </c:pt>
                  <c:pt idx="11">
                    <c:v>I kw.</c:v>
                  </c:pt>
                </c:lvl>
                <c:lvl>
                  <c:pt idx="0">
                    <c:v>2014</c:v>
                  </c:pt>
                  <c:pt idx="3">
                    <c:v>2015</c:v>
                  </c:pt>
                  <c:pt idx="7">
                    <c:v>2016</c:v>
                  </c:pt>
                  <c:pt idx="11">
                    <c:v>2017</c:v>
                  </c:pt>
                </c:lvl>
              </c:multiLvlStrCache>
            </c:multiLvlStrRef>
          </c:cat>
          <c:val>
            <c:numRef>
              <c:f>Arkusz1!$M$3:$M$14</c:f>
              <c:numCache>
                <c:formatCode>#,##0.0</c:formatCode>
                <c:ptCount val="12"/>
                <c:pt idx="0">
                  <c:v>-3.3</c:v>
                </c:pt>
                <c:pt idx="1">
                  <c:v>-2.9</c:v>
                </c:pt>
                <c:pt idx="2">
                  <c:v>-6.6</c:v>
                </c:pt>
                <c:pt idx="3">
                  <c:v>-0.5</c:v>
                </c:pt>
                <c:pt idx="4">
                  <c:v>-2.8</c:v>
                </c:pt>
                <c:pt idx="5">
                  <c:v>-1.4</c:v>
                </c:pt>
                <c:pt idx="6">
                  <c:v>-5.0999999999999996</c:v>
                </c:pt>
                <c:pt idx="7">
                  <c:v>0.2</c:v>
                </c:pt>
                <c:pt idx="8">
                  <c:v>-2.6</c:v>
                </c:pt>
                <c:pt idx="9">
                  <c:v>-1.8</c:v>
                </c:pt>
                <c:pt idx="10">
                  <c:v>-5</c:v>
                </c:pt>
                <c:pt idx="11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978048"/>
        <c:axId val="98992128"/>
      </c:barChart>
      <c:lineChart>
        <c:grouping val="standard"/>
        <c:varyColors val="0"/>
        <c:ser>
          <c:idx val="4"/>
          <c:order val="1"/>
          <c:tx>
            <c:strRef>
              <c:f>Arkusz1!$N$2</c:f>
              <c:strCache>
                <c:ptCount val="1"/>
                <c:pt idx="0">
                  <c:v>wynik pierwotny</c:v>
                </c:pt>
              </c:strCache>
            </c:strRef>
          </c:tx>
          <c:spPr>
            <a:ln>
              <a:solidFill>
                <a:srgbClr val="00863D"/>
              </a:solidFill>
              <a:prstDash val="solid"/>
            </a:ln>
          </c:spPr>
          <c:marker>
            <c:symbol val="none"/>
          </c:marker>
          <c:cat>
            <c:multiLvlStrRef>
              <c:f>'K:\PM8\PRODUKTY\kwartalna ESA\kwartalna styczeń 2016\[dane ESA.xls]dane'!$A$60:$B$71</c:f>
              <c:multiLvlStrCache>
                <c:ptCount val="12"/>
                <c:lvl>
                  <c:pt idx="0">
                    <c:v>1 kw</c:v>
                  </c:pt>
                  <c:pt idx="1">
                    <c:v>2 kw</c:v>
                  </c:pt>
                  <c:pt idx="2">
                    <c:v>3 kw</c:v>
                  </c:pt>
                  <c:pt idx="3">
                    <c:v>4 kw</c:v>
                  </c:pt>
                  <c:pt idx="4">
                    <c:v>1 kw</c:v>
                  </c:pt>
                  <c:pt idx="5">
                    <c:v>2 kw</c:v>
                  </c:pt>
                  <c:pt idx="6">
                    <c:v>3 kw</c:v>
                  </c:pt>
                  <c:pt idx="7">
                    <c:v>4 kw</c:v>
                  </c:pt>
                  <c:pt idx="8">
                    <c:v>1 kw</c:v>
                  </c:pt>
                  <c:pt idx="9">
                    <c:v>2 kw</c:v>
                  </c:pt>
                  <c:pt idx="10">
                    <c:v>3 kw</c:v>
                  </c:pt>
                  <c:pt idx="11">
                    <c:v>4 kw</c:v>
                  </c:pt>
                </c:lvl>
                <c:lvl>
                  <c:pt idx="0">
                    <c:v>2013</c:v>
                  </c:pt>
                  <c:pt idx="4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Arkusz1!$N$3:$N$14</c:f>
              <c:numCache>
                <c:formatCode>#,##0.0</c:formatCode>
                <c:ptCount val="12"/>
                <c:pt idx="0">
                  <c:v>-1.4958929681596493</c:v>
                </c:pt>
                <c:pt idx="1">
                  <c:v>-0.95145037334187643</c:v>
                </c:pt>
                <c:pt idx="2">
                  <c:v>-4.2674194211838294</c:v>
                </c:pt>
                <c:pt idx="3">
                  <c:v>1.4616716151218627</c:v>
                </c:pt>
                <c:pt idx="4">
                  <c:v>-1.0252461330345339</c:v>
                </c:pt>
                <c:pt idx="5">
                  <c:v>0.38891313310666831</c:v>
                </c:pt>
                <c:pt idx="6">
                  <c:v>-3.5266086031206272</c:v>
                </c:pt>
                <c:pt idx="7">
                  <c:v>1.9725377329903957</c:v>
                </c:pt>
                <c:pt idx="8">
                  <c:v>-0.72207438430324167</c:v>
                </c:pt>
                <c:pt idx="9">
                  <c:v>-4.4752825091078752E-2</c:v>
                </c:pt>
                <c:pt idx="10">
                  <c:v>-3.4823322131227776</c:v>
                </c:pt>
                <c:pt idx="11">
                  <c:v>3.4750058344291479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Arkusz1!$O$2</c:f>
              <c:strCache>
                <c:ptCount val="1"/>
                <c:pt idx="0">
                  <c:v>wynik w ujęciu roku płynnego</c:v>
                </c:pt>
              </c:strCache>
            </c:strRef>
          </c:tx>
          <c:spPr>
            <a:ln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'K:\PM8\PRODUKTY\kwartalna ESA\kwartalna styczeń 2016\[dane ESA.xls]dane'!$A$60:$B$71</c:f>
              <c:multiLvlStrCache>
                <c:ptCount val="12"/>
                <c:lvl>
                  <c:pt idx="0">
                    <c:v>1 kw</c:v>
                  </c:pt>
                  <c:pt idx="1">
                    <c:v>2 kw</c:v>
                  </c:pt>
                  <c:pt idx="2">
                    <c:v>3 kw</c:v>
                  </c:pt>
                  <c:pt idx="3">
                    <c:v>4 kw</c:v>
                  </c:pt>
                  <c:pt idx="4">
                    <c:v>1 kw</c:v>
                  </c:pt>
                  <c:pt idx="5">
                    <c:v>2 kw</c:v>
                  </c:pt>
                  <c:pt idx="6">
                    <c:v>3 kw</c:v>
                  </c:pt>
                  <c:pt idx="7">
                    <c:v>4 kw</c:v>
                  </c:pt>
                  <c:pt idx="8">
                    <c:v>1 kw</c:v>
                  </c:pt>
                  <c:pt idx="9">
                    <c:v>2 kw</c:v>
                  </c:pt>
                  <c:pt idx="10">
                    <c:v>3 kw</c:v>
                  </c:pt>
                  <c:pt idx="11">
                    <c:v>4 kw</c:v>
                  </c:pt>
                </c:lvl>
                <c:lvl>
                  <c:pt idx="0">
                    <c:v>2013</c:v>
                  </c:pt>
                  <c:pt idx="4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Arkusz1!$O$3:$O$14</c:f>
              <c:numCache>
                <c:formatCode>#,##0.0</c:formatCode>
                <c:ptCount val="12"/>
                <c:pt idx="0">
                  <c:v>-3.531204127996034</c:v>
                </c:pt>
                <c:pt idx="1">
                  <c:v>-3.5924486945916496</c:v>
                </c:pt>
                <c:pt idx="2">
                  <c:v>-3.4884267265591586</c:v>
                </c:pt>
                <c:pt idx="3">
                  <c:v>-3.4436271699927157</c:v>
                </c:pt>
                <c:pt idx="4">
                  <c:v>-3.3080093135216635</c:v>
                </c:pt>
                <c:pt idx="5">
                  <c:v>-2.9211030261809556</c:v>
                </c:pt>
                <c:pt idx="6">
                  <c:v>-2.5675353406943695</c:v>
                </c:pt>
                <c:pt idx="7">
                  <c:v>-2.378333926644645</c:v>
                </c:pt>
                <c:pt idx="8">
                  <c:v>-2.3375733426744896</c:v>
                </c:pt>
                <c:pt idx="9">
                  <c:v>-2.4275282382566563</c:v>
                </c:pt>
                <c:pt idx="10">
                  <c:v>-2.4165356549776855</c:v>
                </c:pt>
                <c:pt idx="11">
                  <c:v>-2.0246784711062884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978048"/>
        <c:axId val="98992128"/>
      </c:lineChart>
      <c:catAx>
        <c:axId val="98978048"/>
        <c:scaling>
          <c:orientation val="minMax"/>
        </c:scaling>
        <c:delete val="0"/>
        <c:axPos val="b"/>
        <c:numFmt formatCode="mm/yy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98992128"/>
        <c:crosses val="autoZero"/>
        <c:auto val="1"/>
        <c:lblAlgn val="ctr"/>
        <c:lblOffset val="100"/>
        <c:tickLblSkip val="4"/>
        <c:tickMarkSkip val="1"/>
        <c:noMultiLvlLbl val="0"/>
      </c:catAx>
      <c:valAx>
        <c:axId val="98992128"/>
        <c:scaling>
          <c:orientation val="minMax"/>
          <c:max val="4"/>
          <c:min val="-8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989780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</c:legendEntry>
      <c:layout>
        <c:manualLayout>
          <c:xMode val="edge"/>
          <c:yMode val="edge"/>
          <c:x val="9.3959731543624164E-2"/>
          <c:y val="1.5248670247749481E-2"/>
          <c:w val="0.42841163310961972"/>
          <c:h val="0.19530574801791645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600" b="0" i="0" u="none" strike="noStrike" baseline="0">
              <a:solidFill>
                <a:srgbClr val="000000"/>
              </a:solidFill>
              <a:latin typeface="Arial Narrow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B5971-038D-4E31-BB81-58288D198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 okladka raportu B</Template>
  <TotalTime>138</TotalTime>
  <Pages>10</Pages>
  <Words>2417</Words>
  <Characters>14507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</vt:lpstr>
    </vt:vector>
  </TitlesOfParts>
  <Company>1177</Company>
  <LinksUpToDate>false</LinksUpToDate>
  <CharactersWithSpaces>16891</CharactersWithSpaces>
  <SharedDoc>false</SharedDoc>
  <HLinks>
    <vt:vector size="96" baseType="variant">
      <vt:variant>
        <vt:i4>3211323</vt:i4>
      </vt:variant>
      <vt:variant>
        <vt:i4>93</vt:i4>
      </vt:variant>
      <vt:variant>
        <vt:i4>0</vt:i4>
      </vt:variant>
      <vt:variant>
        <vt:i4>5</vt:i4>
      </vt:variant>
      <vt:variant>
        <vt:lpwstr>http://stat.gov.pl/obszary-tematyczne/rachunki-narodowe/europejski-system-rachunkow-narodowych-i-regionalnych-esa-2010/rozporzadzenie-parlamentu-europejskiego-i-rady-ue-nr-5492013-z-dnia-21-maja-2013-r-,1,1.html</vt:lpwstr>
      </vt:variant>
      <vt:variant>
        <vt:lpwstr/>
      </vt:variant>
      <vt:variant>
        <vt:i4>3407929</vt:i4>
      </vt:variant>
      <vt:variant>
        <vt:i4>90</vt:i4>
      </vt:variant>
      <vt:variant>
        <vt:i4>0</vt:i4>
      </vt:variant>
      <vt:variant>
        <vt:i4>5</vt:i4>
      </vt:variant>
      <vt:variant>
        <vt:lpwstr>http://www.mf.gov.pl/documents/764034/1002148/metodologia+wersja+polska2001.pdf</vt:lpwstr>
      </vt:variant>
      <vt:variant>
        <vt:lpwstr/>
      </vt:variant>
      <vt:variant>
        <vt:i4>786444</vt:i4>
      </vt:variant>
      <vt:variant>
        <vt:i4>87</vt:i4>
      </vt:variant>
      <vt:variant>
        <vt:i4>0</vt:i4>
      </vt:variant>
      <vt:variant>
        <vt:i4>5</vt:i4>
      </vt:variant>
      <vt:variant>
        <vt:lpwstr>http://isap.sejm.gov.pl/DetailsServlet?id=WDU20091571240</vt:lpwstr>
      </vt:variant>
      <vt:variant>
        <vt:lpwstr/>
      </vt:variant>
      <vt:variant>
        <vt:i4>1900600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_Toc484006841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_Toc484006840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_Toc484006839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_Toc484006838</vt:lpwstr>
      </vt:variant>
      <vt:variant>
        <vt:i4>1703992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_Toc484006837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_Toc484006836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_Toc484006835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_Toc484006834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_Toc484006833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_Toc484006832</vt:lpwstr>
      </vt:variant>
      <vt:variant>
        <vt:i4>1703992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_Toc484006831</vt:lpwstr>
      </vt:variant>
      <vt:variant>
        <vt:i4>1703992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_Toc484006830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_Toc484006829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</dc:title>
  <dc:creator>Agnieszka Izdebska</dc:creator>
  <cp:lastModifiedBy>Izdebska Agnieszka</cp:lastModifiedBy>
  <cp:revision>6</cp:revision>
  <cp:lastPrinted>2017-07-28T09:35:00Z</cp:lastPrinted>
  <dcterms:created xsi:type="dcterms:W3CDTF">2017-07-27T08:29:00Z</dcterms:created>
  <dcterms:modified xsi:type="dcterms:W3CDTF">2017-07-28T09:57:00Z</dcterms:modified>
</cp:coreProperties>
</file>