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2" w:rsidRPr="00C66D2A" w:rsidRDefault="001C2702" w:rsidP="00C66D2A">
      <w:pPr>
        <w:rPr>
          <w:rFonts w:ascii="Arial" w:hAnsi="Arial" w:cs="Arial"/>
        </w:rPr>
      </w:pPr>
    </w:p>
    <w:p w:rsidR="0015295C" w:rsidRDefault="0015295C" w:rsidP="00C66D2A">
      <w:pPr>
        <w:rPr>
          <w:rFonts w:ascii="Arial" w:hAnsi="Arial" w:cs="Arial"/>
        </w:rPr>
      </w:pPr>
    </w:p>
    <w:p w:rsidR="004047C7" w:rsidRPr="00C66D2A" w:rsidRDefault="004047C7" w:rsidP="00C66D2A">
      <w:pPr>
        <w:rPr>
          <w:rFonts w:ascii="Arial" w:hAnsi="Arial" w:cs="Arial"/>
        </w:rPr>
      </w:pPr>
    </w:p>
    <w:p w:rsidR="00D073CB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1A4D91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>
        <w:rPr>
          <w:rFonts w:ascii="Arial" w:hAnsi="Arial" w:cs="Arial"/>
          <w:b/>
          <w:color w:val="E31837"/>
          <w:sz w:val="40"/>
          <w:szCs w:val="40"/>
        </w:rPr>
        <w:t> </w:t>
      </w:r>
      <w:r w:rsidRPr="001A4D91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>
        <w:rPr>
          <w:rFonts w:ascii="Arial" w:hAnsi="Arial" w:cs="Arial"/>
          <w:b/>
          <w:color w:val="E31837"/>
          <w:sz w:val="40"/>
          <w:szCs w:val="40"/>
        </w:rPr>
        <w:t xml:space="preserve">W </w:t>
      </w:r>
      <w:r w:rsidR="00200F64">
        <w:rPr>
          <w:rFonts w:ascii="Arial" w:hAnsi="Arial" w:cs="Arial"/>
          <w:b/>
          <w:color w:val="E31837"/>
          <w:sz w:val="40"/>
          <w:szCs w:val="40"/>
        </w:rPr>
        <w:t>I</w:t>
      </w:r>
      <w:r w:rsidR="00D073CB">
        <w:rPr>
          <w:rFonts w:ascii="Arial" w:hAnsi="Arial" w:cs="Arial"/>
          <w:b/>
          <w:color w:val="E31837"/>
          <w:sz w:val="40"/>
          <w:szCs w:val="40"/>
        </w:rPr>
        <w:t>I KWARTALE 201</w:t>
      </w:r>
      <w:r w:rsidR="00BC5562">
        <w:rPr>
          <w:rFonts w:ascii="Arial" w:hAnsi="Arial" w:cs="Arial"/>
          <w:b/>
          <w:color w:val="E31837"/>
          <w:sz w:val="40"/>
          <w:szCs w:val="40"/>
        </w:rPr>
        <w:t>8</w:t>
      </w:r>
      <w:r w:rsidR="00D073CB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>
        <w:rPr>
          <w:rFonts w:ascii="Arial" w:hAnsi="Arial" w:cs="Arial"/>
          <w:b/>
          <w:color w:val="E31837"/>
          <w:sz w:val="40"/>
          <w:szCs w:val="40"/>
        </w:rPr>
        <w:t xml:space="preserve"> </w:t>
      </w:r>
    </w:p>
    <w:p w:rsidR="00973D15" w:rsidRPr="00DD3527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200F64">
        <w:rPr>
          <w:rFonts w:ascii="Arial" w:hAnsi="Arial" w:cs="Arial"/>
          <w:b/>
          <w:color w:val="A6A6A6"/>
          <w:sz w:val="28"/>
          <w:szCs w:val="28"/>
        </w:rPr>
        <w:t>4</w:t>
      </w: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DD3527">
        <w:rPr>
          <w:rFonts w:ascii="Arial" w:hAnsi="Arial" w:cs="Arial"/>
          <w:b/>
          <w:color w:val="A6A6A6"/>
          <w:sz w:val="28"/>
          <w:szCs w:val="28"/>
        </w:rPr>
        <w:t>/</w:t>
      </w: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1A4D91" w:rsidRPr="00DD3527">
        <w:rPr>
          <w:rFonts w:ascii="Arial" w:hAnsi="Arial" w:cs="Arial"/>
          <w:b/>
          <w:color w:val="A6A6A6"/>
          <w:sz w:val="28"/>
          <w:szCs w:val="28"/>
        </w:rPr>
        <w:t>1</w:t>
      </w:r>
      <w:r w:rsidR="00C02862">
        <w:rPr>
          <w:rFonts w:ascii="Arial" w:hAnsi="Arial" w:cs="Arial"/>
          <w:b/>
          <w:color w:val="A6A6A6"/>
          <w:sz w:val="28"/>
          <w:szCs w:val="28"/>
        </w:rPr>
        <w:t>8</w:t>
      </w:r>
    </w:p>
    <w:p w:rsidR="00E64CDB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</w:rPr>
      </w:pPr>
      <w:r w:rsidRPr="00E64CDB">
        <w:rPr>
          <w:rFonts w:ascii="Arial" w:hAnsi="Arial" w:cs="Arial"/>
          <w:color w:val="ADAFB2"/>
          <w:sz w:val="40"/>
          <w:szCs w:val="40"/>
        </w:rPr>
        <w:br/>
      </w:r>
    </w:p>
    <w:p w:rsidR="00E64CDB" w:rsidRPr="00562706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D80F1C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D80F1C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D80F1C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jest zaprezentowanie dostępnych informacji na temat sektora </w:t>
      </w:r>
      <w:r w:rsidRPr="00562706">
        <w:rPr>
          <w:rFonts w:ascii="Arial" w:hAnsi="Arial" w:cs="Arial"/>
          <w:b/>
          <w:color w:val="ADAFB2"/>
          <w:sz w:val="24"/>
          <w:szCs w:val="24"/>
        </w:rPr>
        <w:t>finansów publicznych:</w:t>
      </w:r>
    </w:p>
    <w:p w:rsidR="00E64CDB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562706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562706">
        <w:rPr>
          <w:rFonts w:ascii="Arial" w:hAnsi="Arial" w:cs="Arial"/>
          <w:b/>
          <w:color w:val="ADAFB2"/>
          <w:sz w:val="24"/>
          <w:szCs w:val="24"/>
        </w:rPr>
        <w:t xml:space="preserve"> (dane kwartalne obejmujące cały sektor instytucji rządowych i samorządowych),</w:t>
      </w:r>
    </w:p>
    <w:p w:rsidR="00E64CDB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562706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562706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:rsidR="00C66D2A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562706">
        <w:rPr>
          <w:rFonts w:ascii="Arial" w:hAnsi="Arial" w:cs="Arial"/>
          <w:b/>
          <w:color w:val="ADAFB2"/>
          <w:sz w:val="24"/>
          <w:szCs w:val="24"/>
        </w:rPr>
        <w:t> </w:t>
      </w:r>
      <w:r w:rsidRPr="00562706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562706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562706">
        <w:rPr>
          <w:rFonts w:ascii="Arial" w:hAnsi="Arial" w:cs="Arial"/>
          <w:b/>
          <w:color w:val="ADAFB2"/>
          <w:sz w:val="24"/>
          <w:szCs w:val="24"/>
        </w:rPr>
        <w:t>)</w:t>
      </w:r>
      <w:r w:rsidRPr="00562706">
        <w:rPr>
          <w:rFonts w:ascii="Arial" w:hAnsi="Arial" w:cs="Arial"/>
          <w:b/>
          <w:color w:val="ADAFB2"/>
          <w:sz w:val="24"/>
          <w:szCs w:val="24"/>
        </w:rPr>
        <w:t>.</w:t>
      </w:r>
    </w:p>
    <w:p w:rsidR="00973D15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64CDB" w:rsidRPr="00D80F1C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7A1D9D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:rsidR="00E210E5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E210E5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5774A8" w:rsidRPr="00D023C3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  <w:sectPr w:rsidR="005774A8" w:rsidRPr="00D023C3" w:rsidSect="00EC4394">
          <w:footerReference w:type="default" r:id="rId9"/>
          <w:headerReference w:type="first" r:id="rId10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:rsidR="00594840" w:rsidRPr="00D80F1C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="00200F64" w:rsidRPr="00200F64">
        <w:rPr>
          <w:rFonts w:ascii="Arial" w:hAnsi="Arial" w:cs="Arial"/>
          <w:b/>
          <w:sz w:val="24"/>
          <w:szCs w:val="24"/>
        </w:rPr>
        <w:t>I</w:t>
      </w:r>
      <w:r w:rsidRPr="00D073CB">
        <w:rPr>
          <w:rFonts w:ascii="Arial" w:hAnsi="Arial" w:cs="Arial"/>
          <w:b/>
          <w:color w:val="333333"/>
          <w:sz w:val="24"/>
          <w:szCs w:val="24"/>
        </w:rPr>
        <w:t>I</w:t>
      </w:r>
      <w:r w:rsidR="0009641C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D073CB">
        <w:rPr>
          <w:rFonts w:ascii="Arial" w:hAnsi="Arial" w:cs="Arial"/>
          <w:b/>
          <w:color w:val="333333"/>
          <w:sz w:val="24"/>
          <w:szCs w:val="24"/>
        </w:rPr>
        <w:t>kwartału 201</w:t>
      </w:r>
      <w:r w:rsidR="00BC5562">
        <w:rPr>
          <w:rFonts w:ascii="Arial" w:hAnsi="Arial" w:cs="Arial"/>
          <w:b/>
          <w:color w:val="333333"/>
          <w:sz w:val="24"/>
          <w:szCs w:val="24"/>
        </w:rPr>
        <w:t>8</w:t>
      </w:r>
      <w:r w:rsidR="00C23366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>
        <w:rPr>
          <w:rFonts w:ascii="Arial" w:hAnsi="Arial" w:cs="Arial"/>
          <w:b/>
          <w:color w:val="333333"/>
          <w:sz w:val="24"/>
          <w:szCs w:val="24"/>
        </w:rPr>
        <w:t>.</w:t>
      </w: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8101FD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690F9E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E210E5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>
        <w:rPr>
          <w:rFonts w:ascii="Arial" w:hAnsi="Arial" w:cs="Arial"/>
          <w:b/>
          <w:color w:val="E31837"/>
          <w:sz w:val="28"/>
          <w:szCs w:val="28"/>
        </w:rPr>
        <w:t xml:space="preserve">Podstawowe wskaźniki stanu </w:t>
      </w:r>
      <w:r w:rsidRPr="00E210E5">
        <w:rPr>
          <w:rFonts w:ascii="Arial" w:hAnsi="Arial" w:cs="Arial"/>
          <w:b/>
          <w:color w:val="E31837"/>
          <w:sz w:val="28"/>
          <w:szCs w:val="28"/>
        </w:rPr>
        <w:t>sektora instytucji rządowych i samorzą</w:t>
      </w:r>
      <w:r w:rsidRPr="009D4E91">
        <w:rPr>
          <w:rFonts w:ascii="Arial" w:hAnsi="Arial" w:cs="Arial"/>
          <w:b/>
          <w:color w:val="E31837"/>
          <w:sz w:val="28"/>
          <w:szCs w:val="28"/>
        </w:rPr>
        <w:t>do</w:t>
      </w:r>
      <w:r w:rsidR="00BC5828">
        <w:rPr>
          <w:rFonts w:ascii="Arial" w:hAnsi="Arial" w:cs="Arial"/>
          <w:b/>
          <w:color w:val="E31837"/>
          <w:sz w:val="28"/>
          <w:szCs w:val="28"/>
        </w:rPr>
        <w:t xml:space="preserve">wych wg ESA2010 w </w:t>
      </w:r>
      <w:r w:rsidRPr="00E210E5">
        <w:rPr>
          <w:rFonts w:ascii="Arial" w:hAnsi="Arial" w:cs="Arial"/>
          <w:b/>
          <w:color w:val="E31837"/>
          <w:sz w:val="28"/>
          <w:szCs w:val="28"/>
        </w:rPr>
        <w:t>I</w:t>
      </w:r>
      <w:r w:rsidR="00200F64">
        <w:rPr>
          <w:rFonts w:ascii="Arial" w:hAnsi="Arial" w:cs="Arial"/>
          <w:b/>
          <w:color w:val="E31837"/>
          <w:sz w:val="28"/>
          <w:szCs w:val="28"/>
        </w:rPr>
        <w:t>I</w:t>
      </w:r>
      <w:r w:rsidRPr="00E210E5">
        <w:rPr>
          <w:rFonts w:ascii="Arial" w:hAnsi="Arial" w:cs="Arial"/>
          <w:b/>
          <w:color w:val="E31837"/>
          <w:sz w:val="28"/>
          <w:szCs w:val="28"/>
        </w:rPr>
        <w:t xml:space="preserve"> kw. </w:t>
      </w:r>
      <w:r w:rsidR="007E1B4D">
        <w:rPr>
          <w:rFonts w:ascii="Arial" w:hAnsi="Arial" w:cs="Arial"/>
          <w:b/>
          <w:color w:val="E31837"/>
          <w:sz w:val="28"/>
          <w:szCs w:val="28"/>
        </w:rPr>
        <w:t>201</w:t>
      </w:r>
      <w:r w:rsidR="00BC5562">
        <w:rPr>
          <w:rFonts w:ascii="Arial" w:hAnsi="Arial" w:cs="Arial"/>
          <w:b/>
          <w:color w:val="E31837"/>
          <w:sz w:val="28"/>
          <w:szCs w:val="28"/>
        </w:rPr>
        <w:t>8</w:t>
      </w:r>
      <w:r w:rsidRPr="00E210E5">
        <w:rPr>
          <w:rFonts w:ascii="Arial" w:hAnsi="Arial" w:cs="Arial"/>
          <w:b/>
          <w:color w:val="E31837"/>
          <w:sz w:val="28"/>
          <w:szCs w:val="28"/>
        </w:rPr>
        <w:t> r.</w:t>
      </w:r>
    </w:p>
    <w:p w:rsidR="00E210E5" w:rsidRDefault="00E210E5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7A1D9D">
        <w:rPr>
          <w:rFonts w:ascii="Arial" w:hAnsi="Arial" w:cs="Arial"/>
          <w:b/>
          <w:color w:val="ADAFB2"/>
          <w:sz w:val="24"/>
          <w:szCs w:val="24"/>
        </w:rPr>
        <w:t>Wynik</w:t>
      </w:r>
      <w:r w:rsidRPr="00E210E5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="00BC5828">
        <w:rPr>
          <w:rFonts w:ascii="Arial" w:hAnsi="Arial" w:cs="Arial"/>
          <w:b/>
          <w:color w:val="ADAFB2"/>
          <w:sz w:val="24"/>
          <w:szCs w:val="24"/>
        </w:rPr>
        <w:t xml:space="preserve">w </w:t>
      </w:r>
      <w:r w:rsidR="00200F64">
        <w:rPr>
          <w:rFonts w:ascii="Arial" w:hAnsi="Arial" w:cs="Arial"/>
          <w:b/>
          <w:color w:val="ADAFB2"/>
          <w:sz w:val="24"/>
          <w:szCs w:val="24"/>
        </w:rPr>
        <w:t>I</w:t>
      </w:r>
      <w:r w:rsidR="00BC5828">
        <w:rPr>
          <w:rFonts w:ascii="Arial" w:hAnsi="Arial" w:cs="Arial"/>
          <w:b/>
          <w:color w:val="ADAFB2"/>
          <w:sz w:val="24"/>
          <w:szCs w:val="24"/>
        </w:rPr>
        <w:t xml:space="preserve">I kw. </w:t>
      </w:r>
      <w:r w:rsidR="00193A07">
        <w:rPr>
          <w:rFonts w:ascii="Arial" w:hAnsi="Arial" w:cs="Arial"/>
          <w:b/>
          <w:color w:val="ADAFB2"/>
          <w:sz w:val="24"/>
          <w:szCs w:val="24"/>
        </w:rPr>
        <w:t>wyniósł</w:t>
      </w:r>
      <w:r w:rsidR="000061C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193A07">
        <w:rPr>
          <w:rFonts w:ascii="Arial" w:hAnsi="Arial" w:cs="Arial"/>
          <w:b/>
          <w:color w:val="E31837"/>
          <w:sz w:val="24"/>
          <w:szCs w:val="24"/>
        </w:rPr>
        <w:t xml:space="preserve">-2,5 </w:t>
      </w:r>
      <w:r w:rsidR="007E1B4D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151CEC">
        <w:rPr>
          <w:rFonts w:ascii="Arial" w:hAnsi="Arial" w:cs="Arial"/>
          <w:b/>
          <w:color w:val="E31837"/>
          <w:sz w:val="24"/>
          <w:szCs w:val="24"/>
        </w:rPr>
        <w:t>(</w:t>
      </w:r>
      <w:r w:rsidR="00E356BF">
        <w:rPr>
          <w:rFonts w:ascii="Arial" w:hAnsi="Arial" w:cs="Arial"/>
          <w:b/>
          <w:color w:val="E31837"/>
          <w:sz w:val="24"/>
          <w:szCs w:val="24"/>
        </w:rPr>
        <w:t>-0,5</w:t>
      </w:r>
      <w:r w:rsidR="002E22EC" w:rsidRPr="002E22EC">
        <w:rPr>
          <w:rFonts w:ascii="Arial" w:hAnsi="Arial" w:cs="Arial"/>
          <w:b/>
          <w:color w:val="E31837"/>
          <w:sz w:val="24"/>
          <w:szCs w:val="24"/>
        </w:rPr>
        <w:t>%PKB)</w:t>
      </w:r>
    </w:p>
    <w:p w:rsidR="00E210E5" w:rsidRPr="00D55FD4" w:rsidRDefault="003F725B" w:rsidP="00E356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D55FD4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 xml:space="preserve">na koniec </w:t>
      </w:r>
      <w:r w:rsidR="00200F64">
        <w:rPr>
          <w:rFonts w:ascii="Arial" w:hAnsi="Arial" w:cs="Arial"/>
          <w:b/>
          <w:color w:val="ADAFB2"/>
          <w:sz w:val="24"/>
          <w:szCs w:val="24"/>
        </w:rPr>
        <w:t>czerw</w:t>
      </w:r>
      <w:r w:rsidR="00151CEC">
        <w:rPr>
          <w:rFonts w:ascii="Arial" w:hAnsi="Arial" w:cs="Arial"/>
          <w:b/>
          <w:color w:val="ADAFB2"/>
          <w:sz w:val="24"/>
          <w:szCs w:val="24"/>
        </w:rPr>
        <w:t xml:space="preserve">ca 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>201</w:t>
      </w:r>
      <w:r w:rsidR="00151CEC">
        <w:rPr>
          <w:rFonts w:ascii="Arial" w:hAnsi="Arial" w:cs="Arial"/>
          <w:b/>
          <w:color w:val="ADAFB2"/>
          <w:sz w:val="24"/>
          <w:szCs w:val="24"/>
        </w:rPr>
        <w:t>8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D55FD4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E356BF">
        <w:rPr>
          <w:rFonts w:ascii="Arial" w:hAnsi="Arial" w:cs="Arial"/>
          <w:b/>
          <w:color w:val="E31837"/>
          <w:sz w:val="24"/>
          <w:szCs w:val="24"/>
        </w:rPr>
        <w:t>1 </w:t>
      </w:r>
      <w:r w:rsidR="00E356BF" w:rsidRPr="00E356BF">
        <w:rPr>
          <w:rFonts w:ascii="Arial" w:hAnsi="Arial" w:cs="Arial"/>
          <w:b/>
          <w:color w:val="E31837"/>
          <w:sz w:val="24"/>
          <w:szCs w:val="24"/>
        </w:rPr>
        <w:t xml:space="preserve">032,0 </w:t>
      </w:r>
      <w:r w:rsidR="00E356BF">
        <w:rPr>
          <w:rFonts w:ascii="Arial" w:hAnsi="Arial" w:cs="Arial"/>
          <w:b/>
          <w:color w:val="ADAFB2"/>
          <w:sz w:val="24"/>
          <w:szCs w:val="24"/>
        </w:rPr>
        <w:t> </w:t>
      </w:r>
      <w:r w:rsidR="00E356BF">
        <w:rPr>
          <w:rFonts w:ascii="Arial" w:hAnsi="Arial" w:cs="Arial"/>
          <w:b/>
          <w:color w:val="E31837"/>
          <w:sz w:val="24"/>
          <w:szCs w:val="24"/>
        </w:rPr>
        <w:t>mld </w:t>
      </w:r>
      <w:r w:rsidR="00D55FD4" w:rsidRPr="00D55FD4">
        <w:rPr>
          <w:rFonts w:ascii="Arial" w:hAnsi="Arial" w:cs="Arial"/>
          <w:b/>
          <w:color w:val="E31837"/>
          <w:sz w:val="24"/>
          <w:szCs w:val="24"/>
        </w:rPr>
        <w:t xml:space="preserve">zł </w:t>
      </w:r>
    </w:p>
    <w:p w:rsidR="003E0424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3E0424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D80F1C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>
        <w:rPr>
          <w:rFonts w:ascii="Arial" w:hAnsi="Arial" w:cs="Arial"/>
          <w:b/>
          <w:color w:val="ADAFB2"/>
          <w:sz w:val="20"/>
          <w:szCs w:val="20"/>
        </w:rPr>
        <w:t> </w:t>
      </w:r>
      <w:r w:rsidRPr="00D80F1C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>
        <w:rPr>
          <w:rFonts w:ascii="Arial" w:hAnsi="Arial" w:cs="Arial"/>
          <w:b/>
          <w:color w:val="ADAFB2"/>
          <w:sz w:val="20"/>
          <w:szCs w:val="20"/>
        </w:rPr>
        <w:t> </w:t>
      </w:r>
      <w:r w:rsidRPr="00D80F1C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5725A7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  <w:sectPr w:rsidR="005725A7" w:rsidSect="00EC4394">
          <w:footerReference w:type="first" r:id="rId11"/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E0424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BF757A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DE5957" w:rsidRPr="00BC2641" w:rsidRDefault="00DE5957" w:rsidP="00BC2641">
      <w:pPr>
        <w:pStyle w:val="Spistreci1"/>
        <w:tabs>
          <w:tab w:val="right" w:leader="dot" w:pos="7219"/>
        </w:tabs>
        <w:spacing w:after="120"/>
        <w:rPr>
          <w:rStyle w:val="Hipercze"/>
          <w:noProof/>
          <w:color w:val="ADAFB2"/>
        </w:rPr>
      </w:pPr>
      <w:r w:rsidRPr="00BC2641">
        <w:rPr>
          <w:rStyle w:val="Hipercze"/>
          <w:noProof/>
          <w:color w:val="ADAFB2"/>
        </w:rPr>
        <w:t>SPIS TREŚCI</w:t>
      </w:r>
    </w:p>
    <w:p w:rsidR="00BC2641" w:rsidRPr="00BC2641" w:rsidRDefault="00A3676D" w:rsidP="00BC264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3262D7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528155548" w:history="1">
        <w:r w:rsidR="00BC2641" w:rsidRPr="00BC2641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II kw. 2018 r.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_Toc528155548 \h </w:instrTex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>4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C2641" w:rsidRPr="00BC2641" w:rsidRDefault="006E455A" w:rsidP="00BC264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28155549" w:history="1">
        <w:r w:rsidR="00BC2641" w:rsidRPr="00BC2641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_Toc528155549 \h </w:instrTex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>4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C2641" w:rsidRPr="00BC2641" w:rsidRDefault="006E455A" w:rsidP="00BC264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28155550" w:history="1">
        <w:r w:rsidR="00BC2641" w:rsidRPr="00BC2641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_Toc528155550 \h </w:instrTex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>4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C2641" w:rsidRPr="00BC2641" w:rsidRDefault="006E455A" w:rsidP="00BC264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28155551" w:history="1">
        <w:r w:rsidR="00BC2641" w:rsidRPr="00BC2641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_Toc528155551 \h </w:instrTex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>5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C2641" w:rsidRPr="00BC2641" w:rsidRDefault="006E455A" w:rsidP="00BC264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28155552" w:history="1">
        <w:r w:rsidR="00BC2641" w:rsidRPr="00BC2641">
          <w:rPr>
            <w:rStyle w:val="Hipercze"/>
            <w:rFonts w:ascii="Arial" w:hAnsi="Arial" w:cs="Arial"/>
            <w:b/>
            <w:noProof/>
            <w:color w:val="ADAFB2"/>
          </w:rPr>
          <w:t>2. Dług publiczny oraz potrzeby pożyczkowe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_Toc528155552 \h </w:instrTex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>7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C2641" w:rsidRPr="00BC2641" w:rsidRDefault="006E455A" w:rsidP="00BC264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28155553" w:history="1">
        <w:r w:rsidR="00BC2641" w:rsidRPr="00BC2641">
          <w:rPr>
            <w:rStyle w:val="Hipercze"/>
            <w:rFonts w:ascii="Arial" w:hAnsi="Arial" w:cs="Arial"/>
            <w:b/>
            <w:noProof/>
            <w:color w:val="ADAFB2"/>
          </w:rPr>
          <w:t>2.1. Dług sektora instytucji rządowych i samorządowych (wg definicji UE)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_Toc528155553 \h </w:instrTex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>7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C2641" w:rsidRPr="00BC2641" w:rsidRDefault="006E455A" w:rsidP="00BC264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28155554" w:history="1">
        <w:r w:rsidR="00BC2641" w:rsidRPr="00BC2641">
          <w:rPr>
            <w:rStyle w:val="Hipercze"/>
            <w:rFonts w:ascii="Arial" w:hAnsi="Arial" w:cs="Arial"/>
            <w:b/>
            <w:noProof/>
            <w:color w:val="ADAFB2"/>
          </w:rPr>
          <w:t>2.2. Potrzeby pożyczkowe budżetu państwa  i ich finansowanie w II kwartale 2018 r.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_Toc528155554 \h </w:instrTex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>7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C2641" w:rsidRPr="00BC2641" w:rsidRDefault="006E455A" w:rsidP="00BC264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28155555" w:history="1">
        <w:r w:rsidR="00BC2641" w:rsidRPr="00BC2641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_Toc528155555 \h </w:instrTex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>9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C2641" w:rsidRPr="00BC2641" w:rsidRDefault="006E455A" w:rsidP="00BC264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28155556" w:history="1">
        <w:r w:rsidR="00BC2641" w:rsidRPr="00BC2641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_Toc528155556 \h </w:instrTex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t>10</w:t>
        </w:r>
        <w:r w:rsidR="00BC2641" w:rsidRPr="00BC264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A3676D" w:rsidRPr="00D0426F" w:rsidRDefault="00A3676D" w:rsidP="00D0426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:rsidR="003A6FCB" w:rsidRPr="003A6FCB" w:rsidRDefault="003A6FCB" w:rsidP="003A6FCB">
      <w:pPr>
        <w:pStyle w:val="Spistreci1"/>
        <w:tabs>
          <w:tab w:val="right" w:leader="dot" w:pos="7219"/>
        </w:tabs>
        <w:spacing w:after="120"/>
        <w:rPr>
          <w:noProof/>
          <w:lang w:eastAsia="pl-PL"/>
        </w:rPr>
      </w:pPr>
    </w:p>
    <w:p w:rsidR="003A6FCB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3A6FCB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3A6FCB" w:rsidRPr="00B9273E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157279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157279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  <w:sectPr w:rsidR="00157279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1062E" w:rsidRPr="007A1D9D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0" w:name="_Toc528155548"/>
      <w:r w:rsidRPr="007A1D9D">
        <w:rPr>
          <w:rFonts w:ascii="Arial" w:hAnsi="Arial" w:cs="Arial"/>
          <w:color w:val="ADAFB2"/>
          <w:sz w:val="28"/>
          <w:szCs w:val="28"/>
        </w:rPr>
        <w:lastRenderedPageBreak/>
        <w:t>1.</w:t>
      </w:r>
      <w:r w:rsidR="00EC0826" w:rsidRPr="007A1D9D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7A1D9D">
        <w:rPr>
          <w:rFonts w:ascii="Arial" w:hAnsi="Arial" w:cs="Arial"/>
          <w:color w:val="ADAFB2"/>
          <w:sz w:val="28"/>
          <w:szCs w:val="28"/>
        </w:rPr>
        <w:t>ochody</w:t>
      </w:r>
      <w:r w:rsidR="00730D3C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7A1D9D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>
        <w:rPr>
          <w:rFonts w:ascii="Arial" w:hAnsi="Arial" w:cs="Arial"/>
          <w:color w:val="ADAFB2"/>
          <w:sz w:val="28"/>
          <w:szCs w:val="28"/>
        </w:rPr>
        <w:t>w I</w:t>
      </w:r>
      <w:r w:rsidR="00C327C2">
        <w:rPr>
          <w:rFonts w:ascii="Arial" w:hAnsi="Arial" w:cs="Arial"/>
          <w:color w:val="ADAFB2"/>
          <w:sz w:val="28"/>
          <w:szCs w:val="28"/>
        </w:rPr>
        <w:t>I</w:t>
      </w:r>
      <w:r w:rsidR="00101324">
        <w:rPr>
          <w:rFonts w:ascii="Arial" w:hAnsi="Arial" w:cs="Arial"/>
          <w:color w:val="ADAFB2"/>
          <w:sz w:val="28"/>
          <w:szCs w:val="28"/>
        </w:rPr>
        <w:t xml:space="preserve"> kw.</w:t>
      </w:r>
      <w:r w:rsidR="000A6CA0" w:rsidRPr="007A1D9D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>
        <w:rPr>
          <w:rFonts w:ascii="Arial" w:hAnsi="Arial" w:cs="Arial"/>
          <w:color w:val="ADAFB2"/>
          <w:sz w:val="28"/>
          <w:szCs w:val="28"/>
        </w:rPr>
        <w:t>201</w:t>
      </w:r>
      <w:r w:rsidR="00151CEC">
        <w:rPr>
          <w:rFonts w:ascii="Arial" w:hAnsi="Arial" w:cs="Arial"/>
          <w:color w:val="ADAFB2"/>
          <w:sz w:val="28"/>
          <w:szCs w:val="28"/>
        </w:rPr>
        <w:t>8</w:t>
      </w:r>
      <w:r w:rsidR="00730D3C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0"/>
    </w:p>
    <w:p w:rsidR="006A5483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>
        <w:rPr>
          <w:rFonts w:ascii="Times New Roman" w:hAnsi="Times New Roman"/>
          <w:bCs/>
          <w:sz w:val="20"/>
          <w:szCs w:val="20"/>
        </w:rPr>
        <w:t>podstawow</w:t>
      </w:r>
      <w:r>
        <w:rPr>
          <w:rFonts w:ascii="Times New Roman" w:hAnsi="Times New Roman"/>
          <w:bCs/>
          <w:sz w:val="20"/>
          <w:szCs w:val="20"/>
        </w:rPr>
        <w:t>e informacje na temat sytua</w:t>
      </w:r>
      <w:r w:rsidR="00BC5828">
        <w:rPr>
          <w:rFonts w:ascii="Times New Roman" w:hAnsi="Times New Roman"/>
          <w:bCs/>
          <w:sz w:val="20"/>
          <w:szCs w:val="20"/>
        </w:rPr>
        <w:t xml:space="preserve">cji w finansach publicznych w </w:t>
      </w:r>
      <w:r w:rsidR="00C327C2">
        <w:rPr>
          <w:rFonts w:ascii="Times New Roman" w:hAnsi="Times New Roman"/>
          <w:bCs/>
          <w:sz w:val="20"/>
          <w:szCs w:val="20"/>
        </w:rPr>
        <w:t>I</w:t>
      </w:r>
      <w:r w:rsidR="00BC5828">
        <w:rPr>
          <w:rFonts w:ascii="Times New Roman" w:hAnsi="Times New Roman"/>
          <w:bCs/>
          <w:sz w:val="20"/>
          <w:szCs w:val="20"/>
        </w:rPr>
        <w:t>I</w:t>
      </w:r>
      <w:r w:rsidR="00822E89">
        <w:rPr>
          <w:rFonts w:ascii="Times New Roman" w:hAnsi="Times New Roman"/>
          <w:bCs/>
          <w:sz w:val="20"/>
          <w:szCs w:val="20"/>
        </w:rPr>
        <w:t xml:space="preserve"> kw. 201</w:t>
      </w:r>
      <w:r w:rsidR="00151CEC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bCs/>
          <w:sz w:val="20"/>
          <w:szCs w:val="20"/>
        </w:rPr>
        <w:t xml:space="preserve"> roku</w:t>
      </w:r>
      <w:r w:rsidR="0072464B">
        <w:rPr>
          <w:rFonts w:ascii="Times New Roman" w:hAnsi="Times New Roman"/>
          <w:bCs/>
          <w:sz w:val="20"/>
          <w:szCs w:val="20"/>
        </w:rPr>
        <w:t>.</w:t>
      </w:r>
    </w:p>
    <w:p w:rsidR="00D55ED6" w:rsidRPr="008F62F1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" w:name="_Toc528155549"/>
      <w:r>
        <w:rPr>
          <w:rFonts w:ascii="Arial" w:hAnsi="Arial" w:cs="Arial"/>
          <w:i w:val="0"/>
          <w:color w:val="E31837"/>
          <w:sz w:val="20"/>
          <w:szCs w:val="20"/>
        </w:rPr>
        <w:t>1.1</w:t>
      </w:r>
      <w:r w:rsidRPr="008F62F1">
        <w:rPr>
          <w:rFonts w:ascii="Arial" w:hAnsi="Arial" w:cs="Arial"/>
          <w:i w:val="0"/>
          <w:color w:val="E31837"/>
          <w:sz w:val="20"/>
          <w:szCs w:val="20"/>
        </w:rPr>
        <w:t>. Wynik</w:t>
      </w:r>
      <w:bookmarkEnd w:id="1"/>
      <w:r w:rsidRPr="008F62F1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Default="00D55ED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8A1571">
        <w:rPr>
          <w:rFonts w:ascii="Times New Roman" w:hAnsi="Times New Roman" w:cs="Arial"/>
          <w:sz w:val="20"/>
          <w:szCs w:val="20"/>
        </w:rPr>
        <w:t>Wynik sektora instytucji rządowych i samorządowych w I</w:t>
      </w:r>
      <w:r w:rsidR="00C327C2">
        <w:rPr>
          <w:rFonts w:ascii="Times New Roman" w:hAnsi="Times New Roman" w:cs="Arial"/>
          <w:sz w:val="20"/>
          <w:szCs w:val="20"/>
        </w:rPr>
        <w:t>I</w:t>
      </w:r>
      <w:r w:rsidRPr="008A1571">
        <w:rPr>
          <w:rFonts w:ascii="Times New Roman" w:hAnsi="Times New Roman" w:cs="Arial"/>
          <w:sz w:val="20"/>
          <w:szCs w:val="20"/>
        </w:rPr>
        <w:t xml:space="preserve"> kw. 20</w:t>
      </w:r>
      <w:r w:rsidR="008A1571" w:rsidRPr="008A1571">
        <w:rPr>
          <w:rFonts w:ascii="Times New Roman" w:hAnsi="Times New Roman" w:cs="Arial"/>
          <w:sz w:val="20"/>
          <w:szCs w:val="20"/>
        </w:rPr>
        <w:t>18</w:t>
      </w:r>
      <w:r w:rsidRPr="008A1571">
        <w:rPr>
          <w:rFonts w:ascii="Times New Roman" w:hAnsi="Times New Roman" w:cs="Arial"/>
          <w:sz w:val="20"/>
          <w:szCs w:val="20"/>
        </w:rPr>
        <w:t xml:space="preserve"> r. wyniósł </w:t>
      </w:r>
      <w:r w:rsidR="00C327C2">
        <w:rPr>
          <w:rFonts w:ascii="Times New Roman" w:hAnsi="Times New Roman" w:cs="Arial"/>
          <w:sz w:val="20"/>
          <w:szCs w:val="20"/>
        </w:rPr>
        <w:t>-2,5</w:t>
      </w:r>
      <w:r w:rsidRPr="008A1571">
        <w:rPr>
          <w:rFonts w:ascii="Times New Roman" w:hAnsi="Times New Roman" w:cs="Arial"/>
          <w:sz w:val="20"/>
          <w:szCs w:val="20"/>
        </w:rPr>
        <w:t xml:space="preserve"> mld zł</w:t>
      </w:r>
      <w:r w:rsidR="000D31EE">
        <w:rPr>
          <w:rFonts w:ascii="Times New Roman" w:hAnsi="Times New Roman" w:cs="Arial"/>
          <w:sz w:val="20"/>
          <w:szCs w:val="20"/>
        </w:rPr>
        <w:t xml:space="preserve"> (-0,5 % PKB), a </w:t>
      </w:r>
      <w:r w:rsidR="000D31EE" w:rsidRPr="000D31EE">
        <w:rPr>
          <w:rFonts w:ascii="Times New Roman" w:hAnsi="Times New Roman" w:cs="Arial"/>
          <w:sz w:val="20"/>
          <w:szCs w:val="20"/>
        </w:rPr>
        <w:t xml:space="preserve">w ujęciu roku płynnego </w:t>
      </w:r>
      <w:r w:rsidR="000D31EE">
        <w:rPr>
          <w:rFonts w:ascii="Times New Roman" w:hAnsi="Times New Roman" w:cs="Arial"/>
          <w:sz w:val="20"/>
          <w:szCs w:val="20"/>
        </w:rPr>
        <w:t>-</w:t>
      </w:r>
      <w:r w:rsidR="000D31EE" w:rsidRPr="000D31EE">
        <w:rPr>
          <w:rFonts w:ascii="Times New Roman" w:hAnsi="Times New Roman" w:cs="Arial"/>
          <w:sz w:val="20"/>
          <w:szCs w:val="20"/>
        </w:rPr>
        <w:t>1</w:t>
      </w:r>
      <w:r w:rsidR="000D31EE">
        <w:rPr>
          <w:rFonts w:ascii="Times New Roman" w:hAnsi="Times New Roman" w:cs="Arial"/>
          <w:sz w:val="20"/>
          <w:szCs w:val="20"/>
        </w:rPr>
        <w:t>4</w:t>
      </w:r>
      <w:r w:rsidR="000D31EE" w:rsidRPr="000D31EE">
        <w:rPr>
          <w:rFonts w:ascii="Times New Roman" w:hAnsi="Times New Roman" w:cs="Arial"/>
          <w:sz w:val="20"/>
          <w:szCs w:val="20"/>
        </w:rPr>
        <w:t>,</w:t>
      </w:r>
      <w:r w:rsidR="000D31EE">
        <w:rPr>
          <w:rFonts w:ascii="Times New Roman" w:hAnsi="Times New Roman" w:cs="Arial"/>
          <w:sz w:val="20"/>
          <w:szCs w:val="20"/>
        </w:rPr>
        <w:t>9 mld zł</w:t>
      </w:r>
      <w:r w:rsidR="000D31EE" w:rsidRPr="000D31EE">
        <w:rPr>
          <w:rFonts w:ascii="Times New Roman" w:hAnsi="Times New Roman" w:cs="Arial"/>
          <w:sz w:val="20"/>
          <w:szCs w:val="20"/>
        </w:rPr>
        <w:t xml:space="preserve"> </w:t>
      </w:r>
      <w:r w:rsidR="000D31EE">
        <w:rPr>
          <w:rFonts w:ascii="Times New Roman" w:hAnsi="Times New Roman" w:cs="Arial"/>
          <w:sz w:val="20"/>
          <w:szCs w:val="20"/>
        </w:rPr>
        <w:t>(</w:t>
      </w:r>
      <w:r w:rsidR="000D31EE" w:rsidRPr="000D31EE">
        <w:rPr>
          <w:rFonts w:ascii="Times New Roman" w:hAnsi="Times New Roman" w:cs="Arial"/>
          <w:sz w:val="20"/>
          <w:szCs w:val="20"/>
        </w:rPr>
        <w:t xml:space="preserve"> </w:t>
      </w:r>
      <w:r w:rsidR="000D31EE">
        <w:rPr>
          <w:rFonts w:ascii="Times New Roman" w:hAnsi="Times New Roman" w:cs="Arial"/>
          <w:sz w:val="20"/>
          <w:szCs w:val="20"/>
        </w:rPr>
        <w:t>-</w:t>
      </w:r>
      <w:r w:rsidR="000D31EE" w:rsidRPr="000D31EE">
        <w:rPr>
          <w:rFonts w:ascii="Times New Roman" w:hAnsi="Times New Roman" w:cs="Arial"/>
          <w:sz w:val="20"/>
          <w:szCs w:val="20"/>
        </w:rPr>
        <w:t>0,</w:t>
      </w:r>
      <w:r w:rsidR="000D31EE">
        <w:rPr>
          <w:rFonts w:ascii="Times New Roman" w:hAnsi="Times New Roman" w:cs="Arial"/>
          <w:sz w:val="20"/>
          <w:szCs w:val="20"/>
        </w:rPr>
        <w:t>7 % PKB).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4F36D4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ED6" w:rsidRPr="00F56EB9" w:rsidRDefault="00D55ED6" w:rsidP="00415A43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F56EB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F56EB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F56EB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Wynik sektora instytucji rządowych i samorządowych ( w % PKB).</w:t>
            </w:r>
          </w:p>
        </w:tc>
      </w:tr>
      <w:tr w:rsidR="00D55ED6" w:rsidRPr="004F36D4" w:rsidTr="002A20F0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D55ED6" w:rsidRPr="004F36D4" w:rsidRDefault="00F56EB9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38450" cy="2055495"/>
                  <wp:effectExtent l="0" t="0" r="0" b="190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5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4F36D4" w:rsidTr="00415A43">
        <w:tc>
          <w:tcPr>
            <w:tcW w:w="4680" w:type="dxa"/>
          </w:tcPr>
          <w:p w:rsidR="00D55ED6" w:rsidRPr="004F36D4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highlight w:val="yellow"/>
                <w:lang w:eastAsia="pl-PL"/>
              </w:rPr>
            </w:pPr>
            <w:r w:rsidRPr="00F56EB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F56EB9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Dane Eurostat, GUS, obliczenia własne</w:t>
            </w:r>
          </w:p>
        </w:tc>
      </w:tr>
    </w:tbl>
    <w:p w:rsidR="002460E7" w:rsidRPr="004A6171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528155550"/>
      <w:r w:rsidRPr="004A6171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4A6171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4A6171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2"/>
    </w:p>
    <w:p w:rsidR="00562706" w:rsidRPr="004A6171" w:rsidRDefault="008C19C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A6171">
        <w:rPr>
          <w:rFonts w:ascii="Times New Roman" w:hAnsi="Times New Roman"/>
          <w:bCs/>
          <w:sz w:val="20"/>
          <w:szCs w:val="20"/>
        </w:rPr>
        <w:t>W I</w:t>
      </w:r>
      <w:r w:rsidR="004A6171" w:rsidRPr="004A6171">
        <w:rPr>
          <w:rFonts w:ascii="Times New Roman" w:hAnsi="Times New Roman"/>
          <w:bCs/>
          <w:sz w:val="20"/>
          <w:szCs w:val="20"/>
        </w:rPr>
        <w:t>I</w:t>
      </w:r>
      <w:r w:rsidR="0072464B" w:rsidRPr="004A6171">
        <w:rPr>
          <w:rFonts w:ascii="Times New Roman" w:hAnsi="Times New Roman"/>
          <w:bCs/>
          <w:sz w:val="20"/>
          <w:szCs w:val="20"/>
        </w:rPr>
        <w:t xml:space="preserve"> kw.</w:t>
      </w:r>
      <w:r w:rsidRPr="004A6171">
        <w:rPr>
          <w:rFonts w:ascii="Times New Roman" w:hAnsi="Times New Roman"/>
          <w:bCs/>
          <w:sz w:val="20"/>
          <w:szCs w:val="20"/>
        </w:rPr>
        <w:t xml:space="preserve"> 2018</w:t>
      </w:r>
      <w:r w:rsidR="002826C7" w:rsidRPr="004A6171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 w:rsidRPr="004A6171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 w:rsidRPr="004A6171">
        <w:rPr>
          <w:rFonts w:ascii="Times New Roman" w:hAnsi="Times New Roman"/>
          <w:bCs/>
          <w:sz w:val="20"/>
          <w:szCs w:val="20"/>
        </w:rPr>
        <w:t>samorządowych</w:t>
      </w:r>
      <w:r w:rsidR="0020557E" w:rsidRPr="004A6171">
        <w:rPr>
          <w:rFonts w:ascii="Times New Roman" w:hAnsi="Times New Roman"/>
          <w:bCs/>
          <w:sz w:val="20"/>
          <w:szCs w:val="20"/>
        </w:rPr>
        <w:t xml:space="preserve"> (</w:t>
      </w:r>
      <w:r w:rsidR="00092DA3" w:rsidRPr="004A6171">
        <w:rPr>
          <w:rFonts w:ascii="Times New Roman" w:hAnsi="Times New Roman"/>
          <w:bCs/>
          <w:sz w:val="20"/>
          <w:szCs w:val="20"/>
        </w:rPr>
        <w:t xml:space="preserve">wg zasad ESA2010) wyniosły </w:t>
      </w:r>
      <w:r w:rsidR="004A6171" w:rsidRPr="004A6171">
        <w:rPr>
          <w:rFonts w:ascii="Times New Roman" w:hAnsi="Times New Roman"/>
          <w:bCs/>
          <w:sz w:val="20"/>
          <w:szCs w:val="20"/>
        </w:rPr>
        <w:t>203,2</w:t>
      </w:r>
      <w:r w:rsidR="0072464B" w:rsidRPr="004A6171">
        <w:rPr>
          <w:rFonts w:ascii="Times New Roman" w:hAnsi="Times New Roman"/>
          <w:bCs/>
          <w:sz w:val="20"/>
          <w:szCs w:val="20"/>
        </w:rPr>
        <w:t> </w:t>
      </w:r>
      <w:r w:rsidR="002826C7" w:rsidRPr="004A6171">
        <w:rPr>
          <w:rFonts w:ascii="Times New Roman" w:hAnsi="Times New Roman"/>
          <w:bCs/>
          <w:sz w:val="20"/>
          <w:szCs w:val="20"/>
        </w:rPr>
        <w:t>ml</w:t>
      </w:r>
      <w:r w:rsidR="00A43C11" w:rsidRPr="004A6171">
        <w:rPr>
          <w:rFonts w:ascii="Times New Roman" w:hAnsi="Times New Roman"/>
          <w:bCs/>
          <w:sz w:val="20"/>
          <w:szCs w:val="20"/>
        </w:rPr>
        <w:t>d</w:t>
      </w:r>
      <w:r w:rsidR="002826C7" w:rsidRPr="004A6171">
        <w:rPr>
          <w:rFonts w:ascii="Times New Roman" w:hAnsi="Times New Roman"/>
          <w:bCs/>
          <w:sz w:val="20"/>
          <w:szCs w:val="20"/>
        </w:rPr>
        <w:t xml:space="preserve"> zł i były </w:t>
      </w:r>
      <w:r w:rsidR="00F0195E" w:rsidRPr="004A6171">
        <w:rPr>
          <w:rFonts w:ascii="Times New Roman" w:hAnsi="Times New Roman"/>
          <w:bCs/>
          <w:sz w:val="20"/>
          <w:szCs w:val="20"/>
        </w:rPr>
        <w:t>wyższe</w:t>
      </w:r>
      <w:r w:rsidR="002826C7" w:rsidRPr="004A6171">
        <w:rPr>
          <w:rFonts w:ascii="Times New Roman" w:hAnsi="Times New Roman"/>
          <w:bCs/>
          <w:sz w:val="20"/>
          <w:szCs w:val="20"/>
        </w:rPr>
        <w:t xml:space="preserve"> od wykonania dochodów w</w:t>
      </w:r>
      <w:r w:rsidR="00A700BC" w:rsidRPr="004A6171">
        <w:rPr>
          <w:rFonts w:ascii="Times New Roman" w:hAnsi="Times New Roman"/>
          <w:bCs/>
          <w:sz w:val="20"/>
          <w:szCs w:val="20"/>
        </w:rPr>
        <w:t> </w:t>
      </w:r>
      <w:r w:rsidR="002826C7" w:rsidRPr="004A6171">
        <w:rPr>
          <w:rFonts w:ascii="Times New Roman" w:hAnsi="Times New Roman"/>
          <w:bCs/>
          <w:sz w:val="20"/>
          <w:szCs w:val="20"/>
        </w:rPr>
        <w:t>analogicznym</w:t>
      </w:r>
      <w:r w:rsidR="0052514A" w:rsidRPr="004A6171">
        <w:rPr>
          <w:rFonts w:ascii="Times New Roman" w:hAnsi="Times New Roman"/>
          <w:bCs/>
          <w:sz w:val="20"/>
          <w:szCs w:val="20"/>
        </w:rPr>
        <w:t xml:space="preserve"> okresie roku poprzedniego o </w:t>
      </w:r>
      <w:r w:rsidR="004A6171" w:rsidRPr="004A6171">
        <w:rPr>
          <w:rFonts w:ascii="Times New Roman" w:hAnsi="Times New Roman"/>
          <w:bCs/>
          <w:sz w:val="20"/>
          <w:szCs w:val="20"/>
        </w:rPr>
        <w:t>8,2</w:t>
      </w:r>
      <w:r w:rsidR="002826C7" w:rsidRPr="004A6171">
        <w:rPr>
          <w:rFonts w:ascii="Times New Roman" w:hAnsi="Times New Roman"/>
          <w:bCs/>
          <w:sz w:val="20"/>
          <w:szCs w:val="20"/>
        </w:rPr>
        <w:t>%</w:t>
      </w:r>
      <w:r w:rsidR="0095058D" w:rsidRPr="004A6171">
        <w:rPr>
          <w:rFonts w:ascii="Times New Roman" w:hAnsi="Times New Roman"/>
          <w:bCs/>
          <w:sz w:val="20"/>
          <w:szCs w:val="20"/>
        </w:rPr>
        <w:t> </w:t>
      </w:r>
      <w:r w:rsidR="0072464B" w:rsidRPr="004A6171">
        <w:rPr>
          <w:rFonts w:ascii="Times New Roman" w:hAnsi="Times New Roman"/>
          <w:bCs/>
          <w:sz w:val="20"/>
          <w:szCs w:val="20"/>
        </w:rPr>
        <w:t>(r/r)</w:t>
      </w:r>
      <w:r w:rsidR="004A6171" w:rsidRPr="004A6171">
        <w:rPr>
          <w:rFonts w:ascii="Times New Roman" w:hAnsi="Times New Roman"/>
          <w:bCs/>
          <w:sz w:val="20"/>
          <w:szCs w:val="20"/>
        </w:rPr>
        <w:t xml:space="preserve"> (wzrost relacji </w:t>
      </w:r>
      <w:r w:rsidR="00D15B08">
        <w:rPr>
          <w:rFonts w:ascii="Times New Roman" w:hAnsi="Times New Roman"/>
          <w:bCs/>
          <w:sz w:val="20"/>
          <w:szCs w:val="20"/>
        </w:rPr>
        <w:t xml:space="preserve">r/r </w:t>
      </w:r>
      <w:r w:rsidR="004A6171" w:rsidRPr="004A6171">
        <w:rPr>
          <w:rFonts w:ascii="Times New Roman" w:hAnsi="Times New Roman"/>
          <w:bCs/>
          <w:sz w:val="20"/>
          <w:szCs w:val="20"/>
        </w:rPr>
        <w:t>o 1,0</w:t>
      </w:r>
      <w:r w:rsidR="00F0195E" w:rsidRPr="004A617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0195E" w:rsidRPr="004A6171">
        <w:rPr>
          <w:rFonts w:ascii="Times New Roman" w:hAnsi="Times New Roman"/>
          <w:bCs/>
          <w:sz w:val="20"/>
          <w:szCs w:val="20"/>
        </w:rPr>
        <w:t>pp</w:t>
      </w:r>
      <w:proofErr w:type="spellEnd"/>
      <w:r w:rsidR="00F0195E" w:rsidRPr="004A6171">
        <w:rPr>
          <w:rFonts w:ascii="Times New Roman" w:hAnsi="Times New Roman"/>
          <w:bCs/>
          <w:sz w:val="20"/>
          <w:szCs w:val="20"/>
        </w:rPr>
        <w:t xml:space="preserve"> PKB</w:t>
      </w:r>
      <w:r w:rsidR="003E77B8" w:rsidRPr="004A6171">
        <w:rPr>
          <w:rFonts w:ascii="Times New Roman" w:hAnsi="Times New Roman"/>
          <w:bCs/>
          <w:sz w:val="20"/>
          <w:szCs w:val="20"/>
        </w:rPr>
        <w:t xml:space="preserve">). </w:t>
      </w:r>
      <w:r w:rsidR="00D230FB" w:rsidRPr="004A6171">
        <w:rPr>
          <w:rFonts w:ascii="Times New Roman" w:hAnsi="Times New Roman"/>
          <w:bCs/>
          <w:sz w:val="20"/>
          <w:szCs w:val="20"/>
        </w:rPr>
        <w:t>Nominalny w</w:t>
      </w:r>
      <w:r w:rsidR="003E77B8" w:rsidRPr="004A6171">
        <w:rPr>
          <w:rFonts w:ascii="Times New Roman" w:hAnsi="Times New Roman"/>
          <w:bCs/>
          <w:sz w:val="20"/>
          <w:szCs w:val="20"/>
        </w:rPr>
        <w:t>zrost wpływów z podatków</w:t>
      </w:r>
      <w:r w:rsidR="00D230FB" w:rsidRPr="004A6171">
        <w:rPr>
          <w:rFonts w:ascii="Times New Roman" w:hAnsi="Times New Roman"/>
          <w:bCs/>
          <w:sz w:val="20"/>
          <w:szCs w:val="20"/>
        </w:rPr>
        <w:t xml:space="preserve"> (wg zasad ESA2010)</w:t>
      </w:r>
      <w:r w:rsidR="0095058D" w:rsidRPr="004A6171">
        <w:rPr>
          <w:rFonts w:ascii="Times New Roman" w:hAnsi="Times New Roman"/>
          <w:bCs/>
          <w:sz w:val="20"/>
          <w:szCs w:val="20"/>
        </w:rPr>
        <w:t>, które mają największy udzia</w:t>
      </w:r>
      <w:r w:rsidR="00424B41" w:rsidRPr="004A6171">
        <w:rPr>
          <w:rFonts w:ascii="Times New Roman" w:hAnsi="Times New Roman"/>
          <w:bCs/>
          <w:sz w:val="20"/>
          <w:szCs w:val="20"/>
        </w:rPr>
        <w:t>ł w </w:t>
      </w:r>
      <w:r w:rsidR="0095058D" w:rsidRPr="004A6171">
        <w:rPr>
          <w:rFonts w:ascii="Times New Roman" w:hAnsi="Times New Roman"/>
          <w:bCs/>
          <w:sz w:val="20"/>
          <w:szCs w:val="20"/>
        </w:rPr>
        <w:t>dochodach</w:t>
      </w:r>
      <w:r w:rsidR="003E77B8" w:rsidRPr="004A6171">
        <w:rPr>
          <w:rFonts w:ascii="Times New Roman" w:hAnsi="Times New Roman"/>
          <w:bCs/>
          <w:sz w:val="20"/>
          <w:szCs w:val="20"/>
        </w:rPr>
        <w:t xml:space="preserve"> wyniósł</w:t>
      </w:r>
      <w:r w:rsidR="0095058D" w:rsidRPr="004A6171">
        <w:rPr>
          <w:rFonts w:ascii="Times New Roman" w:hAnsi="Times New Roman"/>
          <w:bCs/>
          <w:sz w:val="20"/>
          <w:szCs w:val="20"/>
        </w:rPr>
        <w:t xml:space="preserve"> </w:t>
      </w:r>
      <w:r w:rsidR="004A6171" w:rsidRPr="004A6171">
        <w:rPr>
          <w:rFonts w:ascii="Times New Roman" w:hAnsi="Times New Roman"/>
          <w:bCs/>
          <w:sz w:val="20"/>
          <w:szCs w:val="20"/>
        </w:rPr>
        <w:t>7,3</w:t>
      </w:r>
      <w:r w:rsidR="003E77B8" w:rsidRPr="004A6171">
        <w:rPr>
          <w:rFonts w:ascii="Times New Roman" w:hAnsi="Times New Roman"/>
          <w:bCs/>
          <w:sz w:val="20"/>
          <w:szCs w:val="20"/>
        </w:rPr>
        <w:t>% (r/r).</w:t>
      </w:r>
    </w:p>
    <w:p w:rsidR="00424B41" w:rsidRPr="00DF5F86" w:rsidRDefault="00C43CF9" w:rsidP="00424B4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F5F86">
        <w:rPr>
          <w:rFonts w:ascii="Times New Roman" w:hAnsi="Times New Roman"/>
          <w:bCs/>
          <w:sz w:val="20"/>
          <w:szCs w:val="20"/>
        </w:rPr>
        <w:t>Dochody z tytułu składek na ubezpieczenie społeczne w podsektorze ubezpieczeń społecznych</w:t>
      </w:r>
      <w:r w:rsidR="00424B41" w:rsidRPr="00DF5F86">
        <w:rPr>
          <w:rFonts w:ascii="Times New Roman" w:hAnsi="Times New Roman"/>
          <w:bCs/>
          <w:sz w:val="20"/>
          <w:szCs w:val="20"/>
        </w:rPr>
        <w:t xml:space="preserve"> </w:t>
      </w:r>
      <w:r w:rsidR="00D230FB" w:rsidRPr="00DF5F86">
        <w:rPr>
          <w:rFonts w:ascii="Times New Roman" w:hAnsi="Times New Roman"/>
          <w:bCs/>
          <w:sz w:val="20"/>
          <w:szCs w:val="20"/>
        </w:rPr>
        <w:t>(</w:t>
      </w:r>
      <w:r w:rsidR="00424B41" w:rsidRPr="00DF5F86">
        <w:rPr>
          <w:rFonts w:ascii="Times New Roman" w:hAnsi="Times New Roman"/>
          <w:bCs/>
          <w:sz w:val="20"/>
          <w:szCs w:val="20"/>
        </w:rPr>
        <w:t>wg zasad ESA2010</w:t>
      </w:r>
      <w:r w:rsidR="00D230FB" w:rsidRPr="00DF5F86">
        <w:rPr>
          <w:rFonts w:ascii="Times New Roman" w:hAnsi="Times New Roman"/>
          <w:bCs/>
          <w:sz w:val="20"/>
          <w:szCs w:val="20"/>
        </w:rPr>
        <w:t>)</w:t>
      </w:r>
      <w:r w:rsidR="00424B41" w:rsidRPr="00DF5F86">
        <w:rPr>
          <w:rFonts w:ascii="Times New Roman" w:hAnsi="Times New Roman"/>
          <w:bCs/>
          <w:sz w:val="20"/>
          <w:szCs w:val="20"/>
        </w:rPr>
        <w:t xml:space="preserve"> </w:t>
      </w:r>
      <w:r w:rsidRPr="00DF5F86">
        <w:rPr>
          <w:rFonts w:ascii="Times New Roman" w:hAnsi="Times New Roman"/>
          <w:bCs/>
          <w:sz w:val="20"/>
          <w:szCs w:val="20"/>
        </w:rPr>
        <w:t xml:space="preserve">w </w:t>
      </w:r>
      <w:r w:rsidR="004A6171" w:rsidRPr="00DF5F86">
        <w:rPr>
          <w:rFonts w:ascii="Times New Roman" w:hAnsi="Times New Roman"/>
          <w:bCs/>
          <w:sz w:val="20"/>
          <w:szCs w:val="20"/>
        </w:rPr>
        <w:t>I</w:t>
      </w:r>
      <w:r w:rsidRPr="00DF5F86">
        <w:rPr>
          <w:rFonts w:ascii="Times New Roman" w:hAnsi="Times New Roman"/>
          <w:bCs/>
          <w:sz w:val="20"/>
          <w:szCs w:val="20"/>
        </w:rPr>
        <w:t>I kw. 2018 r. były wyższe</w:t>
      </w:r>
      <w:r w:rsidR="00D230FB" w:rsidRPr="00DF5F86">
        <w:rPr>
          <w:rFonts w:ascii="Times New Roman" w:hAnsi="Times New Roman"/>
          <w:bCs/>
          <w:sz w:val="20"/>
          <w:szCs w:val="20"/>
        </w:rPr>
        <w:t xml:space="preserve">, w ujęciu nominalnym, </w:t>
      </w:r>
      <w:r w:rsidRPr="00DF5F86">
        <w:rPr>
          <w:rFonts w:ascii="Times New Roman" w:hAnsi="Times New Roman"/>
          <w:bCs/>
          <w:sz w:val="20"/>
          <w:szCs w:val="20"/>
        </w:rPr>
        <w:t>o </w:t>
      </w:r>
      <w:r w:rsidR="00BF2A54">
        <w:rPr>
          <w:rFonts w:ascii="Times New Roman" w:hAnsi="Times New Roman"/>
          <w:bCs/>
          <w:sz w:val="20"/>
          <w:szCs w:val="20"/>
        </w:rPr>
        <w:t>9,2</w:t>
      </w:r>
      <w:r w:rsidR="00D230FB" w:rsidRPr="00DF5F86">
        <w:rPr>
          <w:rFonts w:ascii="Times New Roman" w:hAnsi="Times New Roman"/>
          <w:bCs/>
          <w:sz w:val="20"/>
          <w:szCs w:val="20"/>
        </w:rPr>
        <w:t xml:space="preserve">% r/r </w:t>
      </w:r>
      <w:r w:rsidR="00DF5F86" w:rsidRPr="00DF5F86">
        <w:rPr>
          <w:rFonts w:ascii="Times New Roman" w:hAnsi="Times New Roman"/>
          <w:bCs/>
          <w:sz w:val="20"/>
          <w:szCs w:val="20"/>
        </w:rPr>
        <w:t xml:space="preserve">tj. </w:t>
      </w:r>
      <w:r w:rsidR="00C20EBC">
        <w:rPr>
          <w:rFonts w:ascii="Times New Roman" w:hAnsi="Times New Roman"/>
          <w:bCs/>
          <w:sz w:val="20"/>
          <w:szCs w:val="20"/>
        </w:rPr>
        <w:t xml:space="preserve">nieco </w:t>
      </w:r>
      <w:r w:rsidR="00DF5F86" w:rsidRPr="00DF5F86">
        <w:rPr>
          <w:rFonts w:ascii="Times New Roman" w:hAnsi="Times New Roman"/>
          <w:bCs/>
          <w:sz w:val="20"/>
          <w:szCs w:val="20"/>
        </w:rPr>
        <w:t>poniżej</w:t>
      </w:r>
      <w:r w:rsidR="00EE3B11" w:rsidRPr="00DF5F86">
        <w:rPr>
          <w:rFonts w:ascii="Times New Roman" w:hAnsi="Times New Roman"/>
          <w:bCs/>
          <w:sz w:val="20"/>
          <w:szCs w:val="20"/>
        </w:rPr>
        <w:t xml:space="preserve"> tempa wzrostu funduszu wynagrodzeń w gospodarce narodowej (bez tzw. jednostek małych) wynoszącego ok. </w:t>
      </w:r>
      <w:r w:rsidR="00DF5F86" w:rsidRPr="00DF5F86">
        <w:rPr>
          <w:rFonts w:ascii="Times New Roman" w:hAnsi="Times New Roman"/>
          <w:bCs/>
          <w:sz w:val="20"/>
          <w:szCs w:val="20"/>
        </w:rPr>
        <w:t>10,0</w:t>
      </w:r>
      <w:r w:rsidR="00EE3B11" w:rsidRPr="00DF5F86">
        <w:rPr>
          <w:rFonts w:ascii="Times New Roman" w:hAnsi="Times New Roman"/>
          <w:bCs/>
          <w:sz w:val="20"/>
          <w:szCs w:val="20"/>
        </w:rPr>
        <w:t>% r/r.</w:t>
      </w:r>
    </w:p>
    <w:p w:rsidR="00424B41" w:rsidRPr="004F36D4" w:rsidRDefault="00424B41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4F36D4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4F36D4" w:rsidRDefault="00CE4AD9" w:rsidP="00151CEC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highlight w:val="yellow"/>
                <w:lang w:eastAsia="pl-PL"/>
              </w:rPr>
            </w:pPr>
            <w:r w:rsidRP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Wyk. </w:t>
            </w:r>
            <w:r w:rsidR="009E157D" w:rsidRP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r w:rsidRP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dochodów sektora instytucji rządowy</w:t>
            </w:r>
            <w:r w:rsidR="007051DE" w:rsidRP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ch i samorządowych w </w:t>
            </w:r>
            <w:r w:rsid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="007051DE" w:rsidRP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 kw. 201</w:t>
            </w:r>
            <w:r w:rsidR="00151CEC" w:rsidRP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8</w:t>
            </w:r>
            <w:r w:rsidRP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4F36D4" w:rsidTr="00D77324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4F36D4" w:rsidRDefault="00F56EB9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82265" cy="1748155"/>
                  <wp:effectExtent l="0" t="0" r="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4F36D4" w:rsidTr="00415A43">
        <w:tc>
          <w:tcPr>
            <w:tcW w:w="4680" w:type="dxa"/>
          </w:tcPr>
          <w:p w:rsidR="00CE4AD9" w:rsidRPr="004F36D4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highlight w:val="yellow"/>
                <w:lang w:eastAsia="pl-PL"/>
              </w:rPr>
            </w:pPr>
            <w:r w:rsidRPr="00F56EB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484707" w:rsidRPr="00484707" w:rsidRDefault="00484707" w:rsidP="00484707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84707">
        <w:rPr>
          <w:rFonts w:ascii="Times New Roman" w:hAnsi="Times New Roman"/>
          <w:bCs/>
          <w:sz w:val="20"/>
          <w:szCs w:val="20"/>
        </w:rPr>
        <w:t xml:space="preserve">Dochody z tytułu podatku VAT (wg zasad ESA2010), w II kw. 2018 r. były nominalnie wyższe o 5,3% niż w analogicznym okresie 2017 r. W II kw. </w:t>
      </w:r>
      <w:r w:rsidR="00D15B08">
        <w:rPr>
          <w:rFonts w:ascii="Times New Roman" w:hAnsi="Times New Roman"/>
          <w:bCs/>
          <w:sz w:val="20"/>
          <w:szCs w:val="20"/>
        </w:rPr>
        <w:t>nomin</w:t>
      </w:r>
      <w:r w:rsidRPr="00484707">
        <w:rPr>
          <w:rFonts w:ascii="Times New Roman" w:hAnsi="Times New Roman"/>
          <w:bCs/>
          <w:sz w:val="20"/>
          <w:szCs w:val="20"/>
        </w:rPr>
        <w:t xml:space="preserve">alny wzrost sprzedaży </w:t>
      </w:r>
      <w:r w:rsidR="00DF25C6">
        <w:rPr>
          <w:rFonts w:ascii="Times New Roman" w:hAnsi="Times New Roman"/>
          <w:bCs/>
          <w:sz w:val="20"/>
          <w:szCs w:val="20"/>
        </w:rPr>
        <w:t xml:space="preserve">detalicznej wyniósł </w:t>
      </w:r>
      <w:r w:rsidR="00917E71">
        <w:rPr>
          <w:rFonts w:ascii="Times New Roman" w:hAnsi="Times New Roman"/>
          <w:bCs/>
          <w:sz w:val="20"/>
          <w:szCs w:val="20"/>
        </w:rPr>
        <w:t>7,6</w:t>
      </w:r>
      <w:r w:rsidR="00DF25C6">
        <w:rPr>
          <w:rFonts w:ascii="Times New Roman" w:hAnsi="Times New Roman"/>
          <w:bCs/>
          <w:sz w:val="20"/>
          <w:szCs w:val="20"/>
        </w:rPr>
        <w:t>% r/r, a </w:t>
      </w:r>
      <w:r w:rsidRPr="00484707">
        <w:rPr>
          <w:rFonts w:ascii="Times New Roman" w:hAnsi="Times New Roman"/>
          <w:bCs/>
          <w:sz w:val="20"/>
          <w:szCs w:val="20"/>
        </w:rPr>
        <w:t>produkcji sprzedanej 9,5% r/r.</w:t>
      </w:r>
    </w:p>
    <w:p w:rsidR="00484707" w:rsidRPr="00484707" w:rsidRDefault="00484707" w:rsidP="00484707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84707">
        <w:rPr>
          <w:rFonts w:ascii="Times New Roman" w:hAnsi="Times New Roman"/>
          <w:bCs/>
          <w:sz w:val="20"/>
          <w:szCs w:val="20"/>
        </w:rPr>
        <w:t>Dochody sektora instytucji rządowych i samorządowych z PIT (wg zasad ESA2010), wyniosły w II kw. 2018 r. 23,7 mld zł i były wyższe o 8,1% r/r. Nominalne tempo wzrostu przeciętnego funduszu wynagrodzeń w gospodarce narodowej oraz emerytur i rent w II kw. 2018 r. wyniosło 9,3% r/r. W tym roku termin dokonania rozliczenia rocznego przez podatników przypadał 30 kwietnia (w zeszłym roku było to 2 maja – 30 kwietnia przypadał w niedzielę). Z uwagi na to przesunięcie w kalendarzu ewentualne dopłaty podatku wpłynęły wcześniej (już w kwietniu, a nie w maju). Niższe tempo wzrostu dochodów w maju dotyczyło zarówno wpływów ze skali podatkowej, jak i wpływów podatkowych od osób prowadzących działalność gospodarczą oraz dochodów z odpłatnego zbycia papierów wartościowych. Duże znaczenie dla wysokości wpływ</w:t>
      </w:r>
      <w:r w:rsidR="00C20EBC">
        <w:rPr>
          <w:rFonts w:ascii="Times New Roman" w:hAnsi="Times New Roman"/>
          <w:bCs/>
          <w:sz w:val="20"/>
          <w:szCs w:val="20"/>
        </w:rPr>
        <w:t>ów w maju miały dochody z</w:t>
      </w:r>
      <w:r w:rsidR="00DF25C6">
        <w:rPr>
          <w:rFonts w:ascii="Times New Roman" w:hAnsi="Times New Roman"/>
          <w:bCs/>
          <w:sz w:val="20"/>
          <w:szCs w:val="20"/>
        </w:rPr>
        <w:t> </w:t>
      </w:r>
      <w:r w:rsidRPr="00484707">
        <w:rPr>
          <w:rFonts w:ascii="Times New Roman" w:hAnsi="Times New Roman"/>
          <w:bCs/>
          <w:sz w:val="20"/>
          <w:szCs w:val="20"/>
        </w:rPr>
        <w:t>odpłatnego zbycia papierów wartościowych, które niemal w całości są płacone w rozliczeniu rocznym do 30 kwietnia, czyli w t</w:t>
      </w:r>
      <w:r w:rsidR="00C20EBC">
        <w:rPr>
          <w:rFonts w:ascii="Times New Roman" w:hAnsi="Times New Roman"/>
          <w:bCs/>
          <w:sz w:val="20"/>
          <w:szCs w:val="20"/>
        </w:rPr>
        <w:t>ym roku zostały przypisane do I </w:t>
      </w:r>
      <w:r w:rsidRPr="00484707">
        <w:rPr>
          <w:rFonts w:ascii="Times New Roman" w:hAnsi="Times New Roman"/>
          <w:bCs/>
          <w:sz w:val="20"/>
          <w:szCs w:val="20"/>
        </w:rPr>
        <w:t>kwartału.</w:t>
      </w:r>
    </w:p>
    <w:p w:rsidR="00484707" w:rsidRPr="00484707" w:rsidRDefault="00484707" w:rsidP="00484707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84707" w:rsidRPr="00484707" w:rsidTr="00557E08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484707" w:rsidRPr="00484707" w:rsidRDefault="00D15B08" w:rsidP="00484707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 </w:t>
            </w:r>
            <w:r w:rsidR="00484707" w:rsidRPr="00484707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3. Dynamika wpływów z podatku VAT (r/r).</w:t>
            </w:r>
          </w:p>
        </w:tc>
      </w:tr>
      <w:tr w:rsidR="00484707" w:rsidRPr="00484707" w:rsidTr="00557E08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484707" w:rsidRPr="00484707" w:rsidRDefault="00C43B86" w:rsidP="00484707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lightGray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53055" cy="2048510"/>
                  <wp:effectExtent l="0" t="0" r="444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707" w:rsidRPr="00484707" w:rsidTr="00557E08">
        <w:tc>
          <w:tcPr>
            <w:tcW w:w="4680" w:type="dxa"/>
          </w:tcPr>
          <w:p w:rsidR="00484707" w:rsidRPr="00484707" w:rsidRDefault="00484707" w:rsidP="00484707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484707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484707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484707" w:rsidRPr="00484707" w:rsidRDefault="00484707" w:rsidP="00484707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84707">
        <w:rPr>
          <w:rFonts w:ascii="Times New Roman" w:hAnsi="Times New Roman"/>
          <w:bCs/>
          <w:sz w:val="20"/>
          <w:szCs w:val="20"/>
        </w:rPr>
        <w:t xml:space="preserve">Dochody sektora instytucji rządowych i samorządowych z CIT (wg zasad ESA2010) wyniosły w II kw. 2018 r. 7,2 mld zł i były wyższe o 19,2% r/r. Wpływy od banków i pozostałych instytucji finansowych wzrosły o 92,1% r/r, a wpływy od pozostałych przedsiębiorstw wzrosły o 6,5% r/r. W II kw. 2018 r. według GUS wynik finansowy brutto przedsiębiorstw niefinansowych zmniejszył się o 1,8% r/r, a zysk brutto tych podmiotów wzrósł o 2,2% r/r. Wynik finansowy brutto banków w drugim kwartale 2018 r. wzrósł o 10,4% r/r. </w:t>
      </w:r>
    </w:p>
    <w:p w:rsidR="00484707" w:rsidRPr="00484707" w:rsidRDefault="00484707" w:rsidP="00484707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84707">
        <w:rPr>
          <w:rFonts w:ascii="Times New Roman" w:hAnsi="Times New Roman"/>
          <w:bCs/>
          <w:sz w:val="20"/>
          <w:szCs w:val="20"/>
        </w:rPr>
        <w:t>Dochody z akcyzy, (wg zasad ESA2010), wyniosły w II kw. 2018 r. 18,9 mld zł i były wyższe o 5,9% r/r. Szczególnie wysokie w tym okresie było tempo zmian dochodów z a</w:t>
      </w:r>
      <w:r w:rsidR="00DF25C6">
        <w:rPr>
          <w:rFonts w:ascii="Times New Roman" w:hAnsi="Times New Roman"/>
          <w:bCs/>
          <w:sz w:val="20"/>
          <w:szCs w:val="20"/>
        </w:rPr>
        <w:t>kcyzy od energii elektrycznej i </w:t>
      </w:r>
      <w:r w:rsidRPr="00484707">
        <w:rPr>
          <w:rFonts w:ascii="Times New Roman" w:hAnsi="Times New Roman"/>
          <w:bCs/>
          <w:sz w:val="20"/>
          <w:szCs w:val="20"/>
        </w:rPr>
        <w:t>samochodów osobowych, które wyniosło odpowiednio 19,7% r/r i 12,4% r/r. Ujemne tempo można było zaobserwować w przypadku dochodów z akcyzy od oleju opałowego (-28,2% r/r) oraz od gazu LPG</w:t>
      </w:r>
      <w:r w:rsidRPr="00484707">
        <w:rPr>
          <w:rFonts w:ascii="Times New Roman" w:hAnsi="Times New Roman"/>
          <w:bCs/>
          <w:sz w:val="20"/>
          <w:szCs w:val="20"/>
        </w:rPr>
        <w:br/>
        <w:t>(-1,6% r/r).</w:t>
      </w:r>
    </w:p>
    <w:p w:rsidR="00484707" w:rsidRPr="00484707" w:rsidRDefault="00484707" w:rsidP="00484707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84707" w:rsidRPr="00484707" w:rsidTr="00557E08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484707" w:rsidRPr="00484707" w:rsidRDefault="00484707" w:rsidP="00484707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484707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>Wyk. 4. Dynamika wpływów z podatku VAT (w % PKB).</w:t>
            </w:r>
          </w:p>
        </w:tc>
      </w:tr>
      <w:tr w:rsidR="00484707" w:rsidRPr="00484707" w:rsidTr="00557E08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484707" w:rsidRPr="00484707" w:rsidRDefault="006E455A" w:rsidP="00484707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53055" cy="2048510"/>
                  <wp:effectExtent l="0" t="0" r="444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707" w:rsidRPr="00484707" w:rsidTr="00557E08">
        <w:tc>
          <w:tcPr>
            <w:tcW w:w="4680" w:type="dxa"/>
          </w:tcPr>
          <w:p w:rsidR="00484707" w:rsidRPr="00484707" w:rsidRDefault="00484707" w:rsidP="00484707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484707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484707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8D54F6" w:rsidRPr="00BC2641" w:rsidRDefault="008D54F6" w:rsidP="00BC2641">
      <w:pPr>
        <w:rPr>
          <w:rFonts w:ascii="Times New Roman" w:hAnsi="Times New Roman"/>
          <w:bCs/>
          <w:sz w:val="20"/>
          <w:szCs w:val="20"/>
        </w:rPr>
      </w:pPr>
      <w:r w:rsidRPr="00BC2641">
        <w:rPr>
          <w:rFonts w:ascii="Times New Roman" w:hAnsi="Times New Roman"/>
          <w:bCs/>
          <w:sz w:val="20"/>
          <w:szCs w:val="20"/>
        </w:rPr>
        <w:t>Pozostałe dochody sektora instytucji rządowych i</w:t>
      </w:r>
      <w:r w:rsidR="00186282" w:rsidRPr="00BC2641">
        <w:rPr>
          <w:rFonts w:ascii="Times New Roman" w:hAnsi="Times New Roman"/>
          <w:bCs/>
          <w:sz w:val="20"/>
          <w:szCs w:val="20"/>
        </w:rPr>
        <w:t> </w:t>
      </w:r>
      <w:r w:rsidRPr="00BC2641">
        <w:rPr>
          <w:rFonts w:ascii="Times New Roman" w:hAnsi="Times New Roman"/>
          <w:bCs/>
          <w:sz w:val="20"/>
          <w:szCs w:val="20"/>
        </w:rPr>
        <w:t>samorządowych w I</w:t>
      </w:r>
      <w:r w:rsidR="009B7A08" w:rsidRPr="00BC2641">
        <w:rPr>
          <w:rFonts w:ascii="Times New Roman" w:hAnsi="Times New Roman"/>
          <w:bCs/>
          <w:sz w:val="20"/>
          <w:szCs w:val="20"/>
        </w:rPr>
        <w:t>I</w:t>
      </w:r>
      <w:r w:rsidRPr="00BC2641">
        <w:rPr>
          <w:rFonts w:ascii="Times New Roman" w:hAnsi="Times New Roman"/>
          <w:bCs/>
          <w:sz w:val="20"/>
          <w:szCs w:val="20"/>
        </w:rPr>
        <w:t xml:space="preserve"> kw. 2018 r. wzrosły </w:t>
      </w:r>
      <w:r w:rsidR="00186282" w:rsidRPr="00BC2641">
        <w:rPr>
          <w:rFonts w:ascii="Times New Roman" w:hAnsi="Times New Roman"/>
          <w:bCs/>
          <w:sz w:val="20"/>
          <w:szCs w:val="20"/>
        </w:rPr>
        <w:t xml:space="preserve">nominalnie </w:t>
      </w:r>
      <w:r w:rsidRPr="00BC2641">
        <w:rPr>
          <w:rFonts w:ascii="Times New Roman" w:hAnsi="Times New Roman"/>
          <w:bCs/>
          <w:sz w:val="20"/>
          <w:szCs w:val="20"/>
        </w:rPr>
        <w:t>o</w:t>
      </w:r>
      <w:r w:rsidR="00186282" w:rsidRPr="00BC2641">
        <w:rPr>
          <w:rFonts w:ascii="Times New Roman" w:hAnsi="Times New Roman"/>
          <w:bCs/>
          <w:sz w:val="20"/>
          <w:szCs w:val="20"/>
        </w:rPr>
        <w:t> </w:t>
      </w:r>
      <w:r w:rsidR="009B7A08" w:rsidRPr="00BC2641">
        <w:rPr>
          <w:rFonts w:ascii="Times New Roman" w:hAnsi="Times New Roman"/>
          <w:bCs/>
          <w:sz w:val="20"/>
          <w:szCs w:val="20"/>
        </w:rPr>
        <w:t>11,1</w:t>
      </w:r>
      <w:r w:rsidR="00F86DDE" w:rsidRPr="00BC2641">
        <w:rPr>
          <w:rFonts w:ascii="Times New Roman" w:hAnsi="Times New Roman"/>
          <w:bCs/>
          <w:sz w:val="20"/>
          <w:szCs w:val="20"/>
        </w:rPr>
        <w:t>% r/r.</w:t>
      </w:r>
    </w:p>
    <w:p w:rsidR="00EF223A" w:rsidRPr="004A27F5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4" w:name="_Toc528155551"/>
      <w:r w:rsidRPr="004A27F5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4A27F5"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4A27F5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4"/>
    </w:p>
    <w:p w:rsidR="00EF223A" w:rsidRPr="004A27F5" w:rsidRDefault="00CA171C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A27F5">
        <w:rPr>
          <w:rFonts w:ascii="Times New Roman" w:hAnsi="Times New Roman"/>
          <w:bCs/>
          <w:sz w:val="20"/>
          <w:szCs w:val="20"/>
        </w:rPr>
        <w:t>W I</w:t>
      </w:r>
      <w:r w:rsidR="004A27F5" w:rsidRPr="004A27F5">
        <w:rPr>
          <w:rFonts w:ascii="Times New Roman" w:hAnsi="Times New Roman"/>
          <w:bCs/>
          <w:sz w:val="20"/>
          <w:szCs w:val="20"/>
        </w:rPr>
        <w:t>I</w:t>
      </w:r>
      <w:r w:rsidR="00F15FF6" w:rsidRPr="004A27F5">
        <w:rPr>
          <w:rFonts w:ascii="Times New Roman" w:hAnsi="Times New Roman"/>
          <w:bCs/>
          <w:sz w:val="20"/>
          <w:szCs w:val="20"/>
        </w:rPr>
        <w:t xml:space="preserve"> kw</w:t>
      </w:r>
      <w:r w:rsidR="003B2E14" w:rsidRPr="004A27F5">
        <w:rPr>
          <w:rFonts w:ascii="Times New Roman" w:hAnsi="Times New Roman"/>
          <w:bCs/>
          <w:sz w:val="20"/>
          <w:szCs w:val="20"/>
        </w:rPr>
        <w:t>.</w:t>
      </w:r>
      <w:r w:rsidRPr="004A27F5">
        <w:rPr>
          <w:rFonts w:ascii="Times New Roman" w:hAnsi="Times New Roman"/>
          <w:bCs/>
          <w:sz w:val="20"/>
          <w:szCs w:val="20"/>
        </w:rPr>
        <w:t xml:space="preserve"> 2018</w:t>
      </w:r>
      <w:r w:rsidR="00F15FF6" w:rsidRPr="004A27F5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F142BF" w:rsidRPr="004A27F5">
        <w:rPr>
          <w:rFonts w:ascii="Times New Roman" w:hAnsi="Times New Roman"/>
          <w:bCs/>
          <w:sz w:val="20"/>
          <w:szCs w:val="20"/>
        </w:rPr>
        <w:t> </w:t>
      </w:r>
      <w:r w:rsidR="00F15FF6" w:rsidRPr="004A27F5">
        <w:rPr>
          <w:rFonts w:ascii="Times New Roman" w:hAnsi="Times New Roman"/>
          <w:bCs/>
          <w:sz w:val="20"/>
          <w:szCs w:val="20"/>
        </w:rPr>
        <w:t>samorządowych (wg zasad ES</w:t>
      </w:r>
      <w:r w:rsidRPr="004A27F5">
        <w:rPr>
          <w:rFonts w:ascii="Times New Roman" w:hAnsi="Times New Roman"/>
          <w:bCs/>
          <w:sz w:val="20"/>
          <w:szCs w:val="20"/>
        </w:rPr>
        <w:t xml:space="preserve">A2010) wyniosły </w:t>
      </w:r>
      <w:r w:rsidR="004A27F5" w:rsidRPr="004A27F5">
        <w:rPr>
          <w:rFonts w:ascii="Times New Roman" w:hAnsi="Times New Roman"/>
          <w:bCs/>
          <w:sz w:val="20"/>
          <w:szCs w:val="20"/>
        </w:rPr>
        <w:t>205,6</w:t>
      </w:r>
      <w:r w:rsidR="003B2E14" w:rsidRPr="004A27F5">
        <w:rPr>
          <w:rFonts w:ascii="Times New Roman" w:hAnsi="Times New Roman"/>
          <w:bCs/>
          <w:sz w:val="20"/>
          <w:szCs w:val="20"/>
        </w:rPr>
        <w:t> </w:t>
      </w:r>
      <w:r w:rsidR="0020557E" w:rsidRPr="004A27F5">
        <w:rPr>
          <w:rFonts w:ascii="Times New Roman" w:hAnsi="Times New Roman"/>
          <w:bCs/>
          <w:sz w:val="20"/>
          <w:szCs w:val="20"/>
        </w:rPr>
        <w:t xml:space="preserve">mld zł i były </w:t>
      </w:r>
      <w:r w:rsidR="00D15B08">
        <w:rPr>
          <w:rFonts w:ascii="Times New Roman" w:hAnsi="Times New Roman"/>
          <w:bCs/>
          <w:sz w:val="20"/>
          <w:szCs w:val="20"/>
        </w:rPr>
        <w:t xml:space="preserve">nominalnie </w:t>
      </w:r>
      <w:r w:rsidR="004A27F5" w:rsidRPr="004A27F5">
        <w:rPr>
          <w:rFonts w:ascii="Times New Roman" w:hAnsi="Times New Roman"/>
          <w:bCs/>
          <w:sz w:val="20"/>
          <w:szCs w:val="20"/>
        </w:rPr>
        <w:t>wyższe o 4,7</w:t>
      </w:r>
      <w:r w:rsidR="00F15FF6" w:rsidRPr="004A27F5">
        <w:rPr>
          <w:rFonts w:ascii="Times New Roman" w:hAnsi="Times New Roman"/>
          <w:bCs/>
          <w:sz w:val="20"/>
          <w:szCs w:val="20"/>
        </w:rPr>
        <w:t>%</w:t>
      </w:r>
      <w:r w:rsidR="003B2E14" w:rsidRPr="004A27F5">
        <w:rPr>
          <w:rFonts w:ascii="Times New Roman" w:hAnsi="Times New Roman"/>
          <w:bCs/>
          <w:sz w:val="20"/>
          <w:szCs w:val="20"/>
        </w:rPr>
        <w:t xml:space="preserve"> r/r</w:t>
      </w:r>
      <w:r w:rsidR="00F15FF6" w:rsidRPr="004A27F5">
        <w:rPr>
          <w:rFonts w:ascii="Times New Roman" w:hAnsi="Times New Roman"/>
          <w:bCs/>
          <w:sz w:val="20"/>
          <w:szCs w:val="20"/>
        </w:rPr>
        <w:t>. Największy udział w wydatkach sektora instytucji rządowych i</w:t>
      </w:r>
      <w:r w:rsidR="00F142BF" w:rsidRPr="004A27F5">
        <w:rPr>
          <w:rFonts w:ascii="Times New Roman" w:hAnsi="Times New Roman"/>
          <w:bCs/>
          <w:sz w:val="20"/>
          <w:szCs w:val="20"/>
        </w:rPr>
        <w:t> </w:t>
      </w:r>
      <w:r w:rsidR="00F15FF6" w:rsidRPr="004A27F5">
        <w:rPr>
          <w:rFonts w:ascii="Times New Roman" w:hAnsi="Times New Roman"/>
          <w:bCs/>
          <w:sz w:val="20"/>
          <w:szCs w:val="20"/>
        </w:rPr>
        <w:t xml:space="preserve">samorządowych mają świadczenia społeczne, wydatki na wynagrodzenia (łącznie ze składkami) oraz wydatki na </w:t>
      </w:r>
      <w:r w:rsidR="000106DF" w:rsidRPr="004A27F5">
        <w:rPr>
          <w:rFonts w:ascii="Times New Roman" w:hAnsi="Times New Roman"/>
          <w:bCs/>
          <w:sz w:val="20"/>
          <w:szCs w:val="20"/>
        </w:rPr>
        <w:t>zakup towarów i usług (</w:t>
      </w:r>
      <w:r w:rsidR="009333E5" w:rsidRPr="004A27F5">
        <w:rPr>
          <w:rFonts w:ascii="Times New Roman" w:hAnsi="Times New Roman"/>
          <w:bCs/>
          <w:sz w:val="20"/>
          <w:szCs w:val="20"/>
        </w:rPr>
        <w:t xml:space="preserve">tzw. </w:t>
      </w:r>
      <w:r w:rsidR="000106DF" w:rsidRPr="004A27F5">
        <w:rPr>
          <w:rFonts w:ascii="Times New Roman" w:hAnsi="Times New Roman"/>
          <w:bCs/>
          <w:sz w:val="20"/>
          <w:szCs w:val="20"/>
        </w:rPr>
        <w:t>zużycie pośrednie)</w:t>
      </w:r>
      <w:r w:rsidR="00F15FF6" w:rsidRPr="004A27F5">
        <w:rPr>
          <w:rFonts w:ascii="Times New Roman" w:hAnsi="Times New Roman"/>
          <w:bCs/>
          <w:sz w:val="20"/>
          <w:szCs w:val="20"/>
        </w:rPr>
        <w:t>.</w:t>
      </w:r>
    </w:p>
    <w:p w:rsidR="00266236" w:rsidRPr="005B1E50" w:rsidRDefault="00CA171C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5B1E50">
        <w:rPr>
          <w:rFonts w:ascii="Times New Roman" w:hAnsi="Times New Roman"/>
          <w:bCs/>
          <w:sz w:val="20"/>
          <w:szCs w:val="20"/>
        </w:rPr>
        <w:t>W I</w:t>
      </w:r>
      <w:r w:rsidR="004A27F5" w:rsidRPr="005B1E50">
        <w:rPr>
          <w:rFonts w:ascii="Times New Roman" w:hAnsi="Times New Roman"/>
          <w:bCs/>
          <w:sz w:val="20"/>
          <w:szCs w:val="20"/>
        </w:rPr>
        <w:t>I</w:t>
      </w:r>
      <w:r w:rsidRPr="005B1E50">
        <w:rPr>
          <w:rFonts w:ascii="Times New Roman" w:hAnsi="Times New Roman"/>
          <w:bCs/>
          <w:sz w:val="20"/>
          <w:szCs w:val="20"/>
        </w:rPr>
        <w:t xml:space="preserve"> kw. 2018</w:t>
      </w:r>
      <w:r w:rsidR="009E157D" w:rsidRPr="005B1E50">
        <w:rPr>
          <w:rFonts w:ascii="Times New Roman" w:hAnsi="Times New Roman"/>
          <w:bCs/>
          <w:sz w:val="20"/>
          <w:szCs w:val="20"/>
        </w:rPr>
        <w:t xml:space="preserve"> r. świadczenia socjalne wzrosły nominalnie o </w:t>
      </w:r>
      <w:r w:rsidR="004A27F5" w:rsidRPr="005B1E50">
        <w:rPr>
          <w:rFonts w:ascii="Times New Roman" w:hAnsi="Times New Roman"/>
          <w:bCs/>
          <w:sz w:val="20"/>
          <w:szCs w:val="20"/>
        </w:rPr>
        <w:t>6</w:t>
      </w:r>
      <w:r w:rsidRPr="005B1E50">
        <w:rPr>
          <w:rFonts w:ascii="Times New Roman" w:hAnsi="Times New Roman"/>
          <w:bCs/>
          <w:sz w:val="20"/>
          <w:szCs w:val="20"/>
        </w:rPr>
        <w:t>,2</w:t>
      </w:r>
      <w:r w:rsidR="009E157D" w:rsidRPr="005B1E50">
        <w:rPr>
          <w:rFonts w:ascii="Times New Roman" w:hAnsi="Times New Roman"/>
          <w:bCs/>
          <w:sz w:val="20"/>
          <w:szCs w:val="20"/>
        </w:rPr>
        <w:t>% r/r,</w:t>
      </w:r>
      <w:r w:rsidR="009E157D" w:rsidRPr="005B1E50">
        <w:t xml:space="preserve"> </w:t>
      </w:r>
      <w:r w:rsidR="009E157D" w:rsidRPr="005B1E50">
        <w:rPr>
          <w:rFonts w:ascii="Times New Roman" w:hAnsi="Times New Roman"/>
          <w:bCs/>
          <w:sz w:val="20"/>
          <w:szCs w:val="20"/>
        </w:rPr>
        <w:t xml:space="preserve">tj. </w:t>
      </w:r>
      <w:r w:rsidRPr="005B1E50">
        <w:rPr>
          <w:rFonts w:ascii="Times New Roman" w:hAnsi="Times New Roman"/>
          <w:bCs/>
          <w:sz w:val="20"/>
          <w:szCs w:val="20"/>
        </w:rPr>
        <w:t>poniżej</w:t>
      </w:r>
      <w:r w:rsidR="009E157D" w:rsidRPr="005B1E50">
        <w:rPr>
          <w:rFonts w:ascii="Times New Roman" w:hAnsi="Times New Roman"/>
          <w:bCs/>
          <w:sz w:val="20"/>
          <w:szCs w:val="20"/>
        </w:rPr>
        <w:t xml:space="preserve"> tempa wzrostu przeciętnego kwartalnego funduszu</w:t>
      </w:r>
      <w:r w:rsidR="00000BC6" w:rsidRPr="005B1E50">
        <w:rPr>
          <w:rFonts w:ascii="Times New Roman" w:hAnsi="Times New Roman"/>
          <w:bCs/>
          <w:sz w:val="20"/>
          <w:szCs w:val="20"/>
        </w:rPr>
        <w:t xml:space="preserve"> emerytur i </w:t>
      </w:r>
      <w:r w:rsidRPr="005B1E50">
        <w:rPr>
          <w:rFonts w:ascii="Times New Roman" w:hAnsi="Times New Roman"/>
          <w:bCs/>
          <w:sz w:val="20"/>
          <w:szCs w:val="20"/>
        </w:rPr>
        <w:t>rent (ok. </w:t>
      </w:r>
      <w:r w:rsidR="005B1E50" w:rsidRPr="005B1E50">
        <w:rPr>
          <w:rFonts w:ascii="Times New Roman" w:hAnsi="Times New Roman"/>
          <w:bCs/>
          <w:sz w:val="20"/>
          <w:szCs w:val="20"/>
        </w:rPr>
        <w:t>7,9</w:t>
      </w:r>
      <w:r w:rsidR="009E157D" w:rsidRPr="005B1E50">
        <w:rPr>
          <w:rFonts w:ascii="Times New Roman" w:hAnsi="Times New Roman"/>
          <w:bCs/>
          <w:sz w:val="20"/>
          <w:szCs w:val="20"/>
        </w:rPr>
        <w:t>% r/r), który ma największy udział w tej kategorii.</w:t>
      </w:r>
      <w:r w:rsidR="001F07EB" w:rsidRPr="005B1E50">
        <w:rPr>
          <w:rFonts w:ascii="Times New Roman" w:hAnsi="Times New Roman"/>
          <w:bCs/>
          <w:sz w:val="20"/>
          <w:szCs w:val="20"/>
        </w:rPr>
        <w:t xml:space="preserve"> </w:t>
      </w:r>
      <w:r w:rsidR="00D15B08">
        <w:rPr>
          <w:rFonts w:ascii="Times New Roman" w:hAnsi="Times New Roman"/>
          <w:bCs/>
          <w:sz w:val="20"/>
          <w:szCs w:val="20"/>
        </w:rPr>
        <w:t xml:space="preserve">Na niższą niż fundusz </w:t>
      </w:r>
      <w:proofErr w:type="spellStart"/>
      <w:r w:rsidR="00D15B08">
        <w:rPr>
          <w:rFonts w:ascii="Times New Roman" w:hAnsi="Times New Roman"/>
          <w:bCs/>
          <w:sz w:val="20"/>
          <w:szCs w:val="20"/>
        </w:rPr>
        <w:t>emerytalno</w:t>
      </w:r>
      <w:proofErr w:type="spellEnd"/>
      <w:r w:rsidR="00D15B08">
        <w:rPr>
          <w:rFonts w:ascii="Times New Roman" w:hAnsi="Times New Roman"/>
          <w:bCs/>
          <w:sz w:val="20"/>
          <w:szCs w:val="20"/>
        </w:rPr>
        <w:t xml:space="preserve">–rentowy dynamikę wpływ miał przede wszystkim spadek świadczeń </w:t>
      </w:r>
      <w:r w:rsidR="006322D8">
        <w:rPr>
          <w:rFonts w:ascii="Times New Roman" w:hAnsi="Times New Roman"/>
          <w:bCs/>
          <w:sz w:val="20"/>
          <w:szCs w:val="20"/>
        </w:rPr>
        <w:t>na rz</w:t>
      </w:r>
      <w:r w:rsidR="00D15B08">
        <w:rPr>
          <w:rFonts w:ascii="Times New Roman" w:hAnsi="Times New Roman"/>
          <w:bCs/>
          <w:sz w:val="20"/>
          <w:szCs w:val="20"/>
        </w:rPr>
        <w:t>ecz osób fizycznych rejestrowanych w </w:t>
      </w:r>
      <w:r w:rsidR="006322D8">
        <w:rPr>
          <w:rFonts w:ascii="Times New Roman" w:hAnsi="Times New Roman"/>
          <w:bCs/>
          <w:sz w:val="20"/>
          <w:szCs w:val="20"/>
        </w:rPr>
        <w:t>jednost</w:t>
      </w:r>
      <w:r w:rsidR="00D15B08">
        <w:rPr>
          <w:rFonts w:ascii="Times New Roman" w:hAnsi="Times New Roman"/>
          <w:bCs/>
          <w:sz w:val="20"/>
          <w:szCs w:val="20"/>
        </w:rPr>
        <w:t>kach samorządu terytorialnego w ujęciu</w:t>
      </w:r>
      <w:r w:rsidR="006322D8">
        <w:rPr>
          <w:rFonts w:ascii="Times New Roman" w:hAnsi="Times New Roman"/>
          <w:bCs/>
          <w:sz w:val="20"/>
          <w:szCs w:val="20"/>
        </w:rPr>
        <w:t xml:space="preserve"> </w:t>
      </w:r>
      <w:r w:rsidR="00D15B08">
        <w:rPr>
          <w:rFonts w:ascii="Times New Roman" w:hAnsi="Times New Roman"/>
          <w:bCs/>
          <w:sz w:val="20"/>
          <w:szCs w:val="20"/>
        </w:rPr>
        <w:t xml:space="preserve">nominalnym </w:t>
      </w:r>
      <w:r w:rsidR="006322D8">
        <w:rPr>
          <w:rFonts w:ascii="Times New Roman" w:hAnsi="Times New Roman"/>
          <w:bCs/>
          <w:sz w:val="20"/>
          <w:szCs w:val="20"/>
        </w:rPr>
        <w:t>o 3,7% r/r.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4F36D4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4F36D4" w:rsidRDefault="00CE4AD9" w:rsidP="00795110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highlight w:val="yellow"/>
                <w:lang w:eastAsia="pl-PL"/>
              </w:rPr>
            </w:pPr>
            <w:r w:rsidRP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Wyk. </w:t>
            </w:r>
            <w:r w:rsidR="00795110" w:rsidRP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5</w:t>
            </w:r>
            <w:r w:rsidRP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. Struktura wydatków sektora instytucji rządowych i samorządowych w </w:t>
            </w:r>
            <w:r w:rsid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P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="00151CEC" w:rsidRP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kw. 2018</w:t>
            </w:r>
            <w:r w:rsidRPr="00F56E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4F36D4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4F36D4" w:rsidRDefault="00F56EB9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82265" cy="1748155"/>
                  <wp:effectExtent l="0" t="0" r="0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4F36D4" w:rsidTr="00415A43">
        <w:tc>
          <w:tcPr>
            <w:tcW w:w="4680" w:type="dxa"/>
          </w:tcPr>
          <w:p w:rsidR="00CE4AD9" w:rsidRPr="004F36D4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highlight w:val="yellow"/>
                <w:lang w:eastAsia="pl-PL"/>
              </w:rPr>
            </w:pPr>
            <w:r w:rsidRPr="00F56EB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D31D53" w:rsidRPr="006322D8" w:rsidRDefault="00D31D53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322D8">
        <w:rPr>
          <w:rFonts w:ascii="Times New Roman" w:hAnsi="Times New Roman"/>
          <w:bCs/>
          <w:sz w:val="20"/>
          <w:szCs w:val="20"/>
        </w:rPr>
        <w:t>Ponadto w I</w:t>
      </w:r>
      <w:r w:rsidR="006322D8" w:rsidRPr="006322D8">
        <w:rPr>
          <w:rFonts w:ascii="Times New Roman" w:hAnsi="Times New Roman"/>
          <w:bCs/>
          <w:sz w:val="20"/>
          <w:szCs w:val="20"/>
        </w:rPr>
        <w:t>I</w:t>
      </w:r>
      <w:r w:rsidRPr="006322D8">
        <w:rPr>
          <w:rFonts w:ascii="Times New Roman" w:hAnsi="Times New Roman"/>
          <w:bCs/>
          <w:sz w:val="20"/>
          <w:szCs w:val="20"/>
        </w:rPr>
        <w:t xml:space="preserve"> kw. 2018 r. odnotowano wzrost nominalny spożycia publicznego o </w:t>
      </w:r>
      <w:r w:rsidR="006322D8" w:rsidRPr="006322D8">
        <w:rPr>
          <w:rFonts w:ascii="Times New Roman" w:hAnsi="Times New Roman"/>
          <w:bCs/>
          <w:sz w:val="20"/>
          <w:szCs w:val="20"/>
        </w:rPr>
        <w:t>4,7</w:t>
      </w:r>
      <w:r w:rsidRPr="006322D8">
        <w:rPr>
          <w:rFonts w:ascii="Times New Roman" w:hAnsi="Times New Roman"/>
          <w:bCs/>
          <w:sz w:val="20"/>
          <w:szCs w:val="20"/>
        </w:rPr>
        <w:t>% r/r, na co wpływ miał w</w:t>
      </w:r>
      <w:r w:rsidR="0094645D" w:rsidRPr="006322D8">
        <w:rPr>
          <w:rFonts w:ascii="Times New Roman" w:hAnsi="Times New Roman"/>
          <w:bCs/>
          <w:sz w:val="20"/>
          <w:szCs w:val="20"/>
        </w:rPr>
        <w:t>zrost wy</w:t>
      </w:r>
      <w:r w:rsidR="006322D8" w:rsidRPr="006322D8">
        <w:rPr>
          <w:rFonts w:ascii="Times New Roman" w:hAnsi="Times New Roman"/>
          <w:bCs/>
          <w:sz w:val="20"/>
          <w:szCs w:val="20"/>
        </w:rPr>
        <w:t>datków na zużycie pośrednie (6,5</w:t>
      </w:r>
      <w:r w:rsidR="00CA171C" w:rsidRPr="006322D8">
        <w:rPr>
          <w:rFonts w:ascii="Times New Roman" w:hAnsi="Times New Roman"/>
          <w:bCs/>
          <w:sz w:val="20"/>
          <w:szCs w:val="20"/>
        </w:rPr>
        <w:t>% r/r) oraz koszt</w:t>
      </w:r>
      <w:r w:rsidRPr="006322D8">
        <w:rPr>
          <w:rFonts w:ascii="Times New Roman" w:hAnsi="Times New Roman"/>
          <w:bCs/>
          <w:sz w:val="20"/>
          <w:szCs w:val="20"/>
        </w:rPr>
        <w:t>ów</w:t>
      </w:r>
      <w:r w:rsidR="006322D8" w:rsidRPr="006322D8">
        <w:rPr>
          <w:rFonts w:ascii="Times New Roman" w:hAnsi="Times New Roman"/>
          <w:bCs/>
          <w:sz w:val="20"/>
          <w:szCs w:val="20"/>
        </w:rPr>
        <w:t xml:space="preserve"> pracy (3,6</w:t>
      </w:r>
      <w:r w:rsidR="0094645D" w:rsidRPr="006322D8">
        <w:rPr>
          <w:rFonts w:ascii="Times New Roman" w:hAnsi="Times New Roman"/>
          <w:bCs/>
          <w:sz w:val="20"/>
          <w:szCs w:val="20"/>
        </w:rPr>
        <w:t>% r/r)</w:t>
      </w:r>
      <w:r w:rsidRPr="006322D8">
        <w:rPr>
          <w:rFonts w:ascii="Times New Roman" w:hAnsi="Times New Roman"/>
          <w:bCs/>
          <w:sz w:val="20"/>
          <w:szCs w:val="20"/>
        </w:rPr>
        <w:t>.</w:t>
      </w:r>
    </w:p>
    <w:p w:rsidR="00682D29" w:rsidRPr="00671EC8" w:rsidRDefault="00D31D53" w:rsidP="00671EC8">
      <w:pPr>
        <w:jc w:val="both"/>
        <w:rPr>
          <w:color w:val="16365C"/>
          <w:lang w:eastAsia="pl-PL"/>
        </w:rPr>
      </w:pPr>
      <w:r w:rsidRPr="00671EC8">
        <w:rPr>
          <w:rFonts w:ascii="Times New Roman" w:hAnsi="Times New Roman"/>
          <w:bCs/>
          <w:sz w:val="20"/>
          <w:szCs w:val="20"/>
        </w:rPr>
        <w:t xml:space="preserve">Największy wzrost po stronie wydatkowej </w:t>
      </w:r>
      <w:r w:rsidR="008C59F4" w:rsidRPr="00671EC8">
        <w:rPr>
          <w:rFonts w:ascii="Times New Roman" w:hAnsi="Times New Roman"/>
          <w:bCs/>
          <w:sz w:val="20"/>
          <w:szCs w:val="20"/>
        </w:rPr>
        <w:t>zanotowano w inwestycjach</w:t>
      </w:r>
      <w:r w:rsidR="00DB37B4" w:rsidRPr="00671EC8">
        <w:rPr>
          <w:rFonts w:ascii="Times New Roman" w:hAnsi="Times New Roman"/>
          <w:bCs/>
          <w:sz w:val="20"/>
          <w:szCs w:val="20"/>
        </w:rPr>
        <w:t xml:space="preserve"> (nominalnie o </w:t>
      </w:r>
      <w:r w:rsidR="00E932B7" w:rsidRPr="00671EC8">
        <w:rPr>
          <w:rFonts w:ascii="Times New Roman" w:hAnsi="Times New Roman"/>
          <w:bCs/>
          <w:sz w:val="20"/>
          <w:szCs w:val="20"/>
        </w:rPr>
        <w:t>23,7</w:t>
      </w:r>
      <w:r w:rsidR="00F76424" w:rsidRPr="00671EC8">
        <w:rPr>
          <w:rFonts w:ascii="Times New Roman" w:hAnsi="Times New Roman"/>
          <w:bCs/>
          <w:sz w:val="20"/>
          <w:szCs w:val="20"/>
        </w:rPr>
        <w:t>% r/r).</w:t>
      </w:r>
      <w:r w:rsidR="00781699" w:rsidRPr="00671EC8">
        <w:rPr>
          <w:rFonts w:ascii="Times New Roman" w:hAnsi="Times New Roman"/>
          <w:bCs/>
          <w:sz w:val="20"/>
          <w:szCs w:val="20"/>
        </w:rPr>
        <w:t xml:space="preserve"> </w:t>
      </w:r>
      <w:r w:rsidR="00F76424" w:rsidRPr="00671EC8">
        <w:rPr>
          <w:rFonts w:ascii="Times New Roman" w:hAnsi="Times New Roman"/>
          <w:bCs/>
          <w:sz w:val="20"/>
          <w:szCs w:val="20"/>
        </w:rPr>
        <w:t>Podobnie jak w poprzednim kwartale, wzrost inwestycji wynikał głównie z</w:t>
      </w:r>
      <w:r w:rsidR="001F256E" w:rsidRPr="00671EC8">
        <w:rPr>
          <w:rFonts w:ascii="Times New Roman" w:hAnsi="Times New Roman"/>
          <w:bCs/>
          <w:sz w:val="20"/>
          <w:szCs w:val="20"/>
        </w:rPr>
        <w:t xml:space="preserve"> dwucyfrowego</w:t>
      </w:r>
      <w:r w:rsidR="00F76424" w:rsidRPr="00671EC8">
        <w:rPr>
          <w:rFonts w:ascii="Times New Roman" w:hAnsi="Times New Roman"/>
          <w:bCs/>
          <w:sz w:val="20"/>
          <w:szCs w:val="20"/>
        </w:rPr>
        <w:t xml:space="preserve"> wzrostu wydatków w</w:t>
      </w:r>
      <w:r w:rsidR="001F256E" w:rsidRPr="00671EC8">
        <w:rPr>
          <w:rFonts w:ascii="Times New Roman" w:hAnsi="Times New Roman"/>
          <w:bCs/>
          <w:sz w:val="20"/>
          <w:szCs w:val="20"/>
        </w:rPr>
        <w:t> </w:t>
      </w:r>
      <w:r w:rsidR="00F76424" w:rsidRPr="00671EC8">
        <w:rPr>
          <w:rFonts w:ascii="Times New Roman" w:hAnsi="Times New Roman"/>
          <w:bCs/>
          <w:sz w:val="20"/>
          <w:szCs w:val="20"/>
        </w:rPr>
        <w:t>jednostkach samorządu terytorialnego</w:t>
      </w:r>
      <w:r w:rsidR="00671EC8" w:rsidRPr="00671EC8">
        <w:rPr>
          <w:rFonts w:ascii="Times New Roman" w:hAnsi="Times New Roman"/>
          <w:bCs/>
          <w:sz w:val="20"/>
          <w:szCs w:val="20"/>
        </w:rPr>
        <w:t xml:space="preserve"> (nominalny wzrost w ujęciu kasowym o </w:t>
      </w:r>
      <w:r w:rsidR="005613A2">
        <w:rPr>
          <w:rFonts w:ascii="Times New Roman" w:hAnsi="Times New Roman"/>
          <w:bCs/>
          <w:sz w:val="20"/>
          <w:szCs w:val="20"/>
        </w:rPr>
        <w:t xml:space="preserve">ok. 90 </w:t>
      </w:r>
      <w:r w:rsidR="00671EC8" w:rsidRPr="00671EC8">
        <w:rPr>
          <w:rFonts w:ascii="Times New Roman" w:hAnsi="Times New Roman"/>
          <w:bCs/>
          <w:sz w:val="20"/>
          <w:szCs w:val="20"/>
        </w:rPr>
        <w:t>% r/r)</w:t>
      </w:r>
      <w:r w:rsidR="00DB37B4" w:rsidRPr="00671EC8">
        <w:rPr>
          <w:rFonts w:ascii="Times New Roman" w:hAnsi="Times New Roman"/>
          <w:bCs/>
          <w:sz w:val="20"/>
          <w:szCs w:val="20"/>
        </w:rPr>
        <w:t xml:space="preserve">. </w:t>
      </w:r>
      <w:r w:rsidRPr="00671EC8">
        <w:rPr>
          <w:rFonts w:ascii="Times New Roman" w:hAnsi="Times New Roman"/>
          <w:bCs/>
          <w:sz w:val="20"/>
          <w:szCs w:val="20"/>
        </w:rPr>
        <w:t>Jednocześnie</w:t>
      </w:r>
      <w:r w:rsidR="00DB37B4" w:rsidRPr="00671EC8">
        <w:rPr>
          <w:rFonts w:ascii="Times New Roman" w:hAnsi="Times New Roman"/>
          <w:bCs/>
          <w:sz w:val="20"/>
          <w:szCs w:val="20"/>
        </w:rPr>
        <w:t xml:space="preserve"> </w:t>
      </w:r>
      <w:r w:rsidRPr="00671EC8">
        <w:rPr>
          <w:rFonts w:ascii="Times New Roman" w:hAnsi="Times New Roman"/>
          <w:bCs/>
          <w:sz w:val="20"/>
          <w:szCs w:val="20"/>
        </w:rPr>
        <w:t>istotny</w:t>
      </w:r>
      <w:r w:rsidR="00DB37B4" w:rsidRPr="00671EC8">
        <w:rPr>
          <w:rFonts w:ascii="Times New Roman" w:hAnsi="Times New Roman"/>
          <w:bCs/>
          <w:sz w:val="20"/>
          <w:szCs w:val="20"/>
        </w:rPr>
        <w:t xml:space="preserve"> wzrost nakładów inwestycyjnych odnotowano w</w:t>
      </w:r>
      <w:r w:rsidR="001F256E" w:rsidRPr="00671EC8">
        <w:rPr>
          <w:rFonts w:ascii="Times New Roman" w:hAnsi="Times New Roman"/>
          <w:bCs/>
          <w:sz w:val="20"/>
          <w:szCs w:val="20"/>
        </w:rPr>
        <w:t> </w:t>
      </w:r>
      <w:r w:rsidR="00DB37B4" w:rsidRPr="00671EC8">
        <w:rPr>
          <w:rFonts w:ascii="Times New Roman" w:hAnsi="Times New Roman"/>
          <w:bCs/>
          <w:sz w:val="20"/>
          <w:szCs w:val="20"/>
        </w:rPr>
        <w:t>zakresie infrastruktury transportowej, w tym kolejowej.</w:t>
      </w:r>
      <w:r w:rsidR="008C59F4" w:rsidRPr="00671EC8">
        <w:rPr>
          <w:rFonts w:ascii="Times New Roman" w:hAnsi="Times New Roman"/>
          <w:bCs/>
          <w:sz w:val="20"/>
          <w:szCs w:val="20"/>
        </w:rPr>
        <w:t xml:space="preserve"> </w:t>
      </w:r>
    </w:p>
    <w:p w:rsidR="00424B41" w:rsidRPr="004F36D4" w:rsidRDefault="00424B41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 w:rsidRPr="004F36D4"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:rsidR="00D55FD4" w:rsidRPr="005C5661" w:rsidRDefault="00B8553E" w:rsidP="005C5661">
      <w:pPr>
        <w:pStyle w:val="Nagwek1"/>
        <w:spacing w:before="120" w:line="288" w:lineRule="auto"/>
      </w:pPr>
      <w:bookmarkStart w:id="5" w:name="_Toc378241155"/>
      <w:bookmarkStart w:id="6" w:name="_Toc472594681"/>
      <w:bookmarkStart w:id="7" w:name="_Toc528155552"/>
      <w:r>
        <w:rPr>
          <w:rFonts w:ascii="Arial" w:hAnsi="Arial" w:cs="Arial"/>
          <w:color w:val="ADAFB2"/>
          <w:sz w:val="28"/>
          <w:szCs w:val="28"/>
        </w:rPr>
        <w:lastRenderedPageBreak/>
        <w:t>2</w:t>
      </w:r>
      <w:r w:rsidR="00D55FD4" w:rsidRPr="005C5661">
        <w:rPr>
          <w:rFonts w:ascii="Arial" w:hAnsi="Arial" w:cs="Arial"/>
          <w:color w:val="ADAFB2"/>
          <w:sz w:val="28"/>
          <w:szCs w:val="28"/>
        </w:rPr>
        <w:t xml:space="preserve">. </w:t>
      </w:r>
      <w:bookmarkEnd w:id="5"/>
      <w:r w:rsidR="00D55FD4" w:rsidRPr="005C5661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6"/>
      <w:bookmarkEnd w:id="7"/>
    </w:p>
    <w:p w:rsidR="0061515D" w:rsidRPr="0061515D" w:rsidRDefault="0061515D" w:rsidP="0061515D">
      <w:pPr>
        <w:keepNext/>
        <w:spacing w:before="120" w:after="60" w:line="288" w:lineRule="auto"/>
        <w:outlineLvl w:val="1"/>
        <w:rPr>
          <w:rFonts w:ascii="Arial" w:hAnsi="Arial" w:cs="Arial"/>
          <w:b/>
          <w:bCs/>
          <w:iCs/>
          <w:color w:val="E31837"/>
          <w:sz w:val="20"/>
          <w:szCs w:val="20"/>
        </w:rPr>
      </w:pPr>
      <w:bookmarkStart w:id="8" w:name="_Toc472594682"/>
      <w:bookmarkStart w:id="9" w:name="_Toc528155553"/>
      <w:r w:rsidRPr="0061515D">
        <w:rPr>
          <w:rFonts w:ascii="Arial" w:hAnsi="Arial" w:cs="Arial"/>
          <w:b/>
          <w:bCs/>
          <w:iCs/>
          <w:color w:val="E31837"/>
          <w:sz w:val="20"/>
          <w:szCs w:val="20"/>
        </w:rPr>
        <w:t>2.1. Dług sektora instytucji rządowych i samorządowych (wg definicji UE)</w:t>
      </w:r>
      <w:bookmarkEnd w:id="8"/>
      <w:bookmarkEnd w:id="9"/>
    </w:p>
    <w:p w:rsidR="0061515D" w:rsidRPr="0061515D" w:rsidRDefault="0061515D" w:rsidP="0061515D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61515D">
        <w:rPr>
          <w:rFonts w:ascii="Times New Roman" w:hAnsi="Times New Roman" w:cs="Arial"/>
          <w:sz w:val="20"/>
          <w:szCs w:val="20"/>
        </w:rPr>
        <w:t xml:space="preserve">Na koniec II kwartału 2018 r. dług sektora instytucji rządowych i samorządowych (dług EDP) stanowiący jeden z elementów kryterium fiskalnego z </w:t>
      </w:r>
      <w:proofErr w:type="spellStart"/>
      <w:r w:rsidRPr="0061515D">
        <w:rPr>
          <w:rFonts w:ascii="Times New Roman" w:hAnsi="Times New Roman" w:cs="Arial"/>
          <w:sz w:val="20"/>
          <w:szCs w:val="20"/>
        </w:rPr>
        <w:t>Maastricht</w:t>
      </w:r>
      <w:proofErr w:type="spellEnd"/>
      <w:r w:rsidRPr="0061515D">
        <w:rPr>
          <w:rFonts w:ascii="Times New Roman" w:hAnsi="Times New Roman" w:cs="Arial"/>
          <w:sz w:val="20"/>
          <w:szCs w:val="20"/>
        </w:rPr>
        <w:t xml:space="preserve"> wyniósł 1.032,0 mld zł, co oznaczało:</w:t>
      </w:r>
    </w:p>
    <w:p w:rsidR="0061515D" w:rsidRPr="0061515D" w:rsidRDefault="0061515D" w:rsidP="0061515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 w:cs="Arial"/>
          <w:sz w:val="20"/>
          <w:szCs w:val="20"/>
        </w:rPr>
        <w:t>wzrost o 0,6 mld zł (+0,1%) w porównaniu z poprzednim kwartałem,</w:t>
      </w:r>
    </w:p>
    <w:p w:rsidR="0061515D" w:rsidRPr="0061515D" w:rsidRDefault="0061515D" w:rsidP="0061515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 w:cs="Arial"/>
          <w:sz w:val="20"/>
          <w:szCs w:val="20"/>
        </w:rPr>
        <w:t>wzrost o 26,3 mld zł (+2,6%) w porównaniu z końcem 2017 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61515D" w:rsidRPr="0061515D" w:rsidTr="00557E08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61515D" w:rsidRPr="0061515D" w:rsidRDefault="0061515D" w:rsidP="0061515D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61515D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6. Dług EDP</w:t>
            </w:r>
          </w:p>
        </w:tc>
      </w:tr>
      <w:tr w:rsidR="0061515D" w:rsidRPr="0061515D" w:rsidTr="00557E08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61515D" w:rsidRPr="0061515D" w:rsidRDefault="0061515D" w:rsidP="0061515D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1515D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2AC2565B" wp14:editId="7C77AC82">
                  <wp:extent cx="2955341" cy="20548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419" cy="205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5D" w:rsidRPr="0061515D" w:rsidTr="00557E08">
        <w:tc>
          <w:tcPr>
            <w:tcW w:w="4680" w:type="dxa"/>
          </w:tcPr>
          <w:p w:rsidR="0061515D" w:rsidRPr="0061515D" w:rsidRDefault="0061515D" w:rsidP="0061515D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61515D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61515D" w:rsidRPr="0061515D" w:rsidRDefault="0061515D" w:rsidP="0061515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dług EDP złożyło się zadłużenie podsektorów:</w:t>
      </w:r>
    </w:p>
    <w:p w:rsidR="0061515D" w:rsidRPr="0061515D" w:rsidRDefault="0061515D" w:rsidP="006151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rządowego 960,0 mld zł  (wzrost o 1,4 mld zł w II kwartale 2018 r.),</w:t>
      </w:r>
    </w:p>
    <w:p w:rsidR="0061515D" w:rsidRPr="0061515D" w:rsidRDefault="0061515D" w:rsidP="006151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samorządowego 72,0 mld zł, (spadek o 0,7 mld zł w II kwartale 2018 r.),</w:t>
      </w:r>
    </w:p>
    <w:p w:rsidR="0061515D" w:rsidRPr="0061515D" w:rsidRDefault="0061515D" w:rsidP="006151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:rsidR="0061515D" w:rsidRPr="0061515D" w:rsidRDefault="0061515D" w:rsidP="0061515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Zmiana długu EDP w II kwartale 2018 r. wynikała głównie ze zmian zadłużenia SP. Ponadto innymi znaczącymi czynnikami były:</w:t>
      </w:r>
    </w:p>
    <w:p w:rsidR="0061515D" w:rsidRPr="0061515D" w:rsidRDefault="0061515D" w:rsidP="006151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wzrost zadłużenia Krajowego Funduszu Drogowego (o 5,0 mld zł),</w:t>
      </w:r>
    </w:p>
    <w:p w:rsidR="0061515D" w:rsidRPr="0061515D" w:rsidRDefault="0061515D" w:rsidP="006151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zmniejszenie wartości portfela skarbowych papierów wartościowych (SPW) posiadanych przez Bankowy Fundusz Gwarancyjny (wraz z funduszami ochrony środków gwarantowanych) o 0,7 mld zł oraz wzrost portfela SPW funduszy umiejscowionych w BGK (w tym Krajowego </w:t>
      </w:r>
      <w:r w:rsidRPr="0061515D">
        <w:rPr>
          <w:rFonts w:ascii="Times New Roman" w:hAnsi="Times New Roman"/>
          <w:sz w:val="20"/>
          <w:szCs w:val="20"/>
        </w:rPr>
        <w:lastRenderedPageBreak/>
        <w:t>Funduszu Drogowego) o 0,3 mld zł, co łącznie spowodowało wzrost długu EDP w wyniku spadku konsolidacji wzajemnych zobowiązań sektora,</w:t>
      </w:r>
    </w:p>
    <w:p w:rsidR="0061515D" w:rsidRPr="0061515D" w:rsidRDefault="0061515D" w:rsidP="006151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spadek zadłużenia wynikający z wyceny transakcji CIRS w rezultacie zmian kursów walut obcych (o 0,5 mld zł).</w:t>
      </w:r>
    </w:p>
    <w:p w:rsidR="0061515D" w:rsidRPr="0061515D" w:rsidRDefault="0061515D" w:rsidP="0061515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Największy udział w </w:t>
      </w:r>
      <w:r w:rsidRPr="0061515D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61515D">
        <w:rPr>
          <w:rFonts w:ascii="Times New Roman" w:hAnsi="Times New Roman"/>
          <w:sz w:val="20"/>
          <w:szCs w:val="20"/>
        </w:rPr>
        <w:t>dług Skarbu Państwa (SP).</w:t>
      </w:r>
    </w:p>
    <w:p w:rsidR="0061515D" w:rsidRPr="0061515D" w:rsidRDefault="0061515D" w:rsidP="0061515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koniec II kw. 2018 r. dług SP wyniósł 956,1 mld zł, co oznaczało spadek o 2,0 mld zł (-0,2%) względem poprzedniego kwartału.</w:t>
      </w:r>
    </w:p>
    <w:p w:rsidR="0061515D" w:rsidRPr="0061515D" w:rsidRDefault="0061515D" w:rsidP="0061515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Spadek długu SP w II kw. 2018 r. był przede wszystkim wypadkową:</w:t>
      </w:r>
    </w:p>
    <w:p w:rsidR="0061515D" w:rsidRPr="0061515D" w:rsidRDefault="0061515D" w:rsidP="006151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ujemnych potrzeb pożyczkowych netto  budżetu państwa (-4,6 mld zł),</w:t>
      </w:r>
    </w:p>
    <w:p w:rsidR="0061515D" w:rsidRPr="0061515D" w:rsidRDefault="0061515D" w:rsidP="006151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zmniejszenia stanu środków na rachunkach budżetowych (-12,2 mld zł),</w:t>
      </w:r>
    </w:p>
    <w:p w:rsidR="0061515D" w:rsidRPr="0061515D" w:rsidRDefault="0061515D" w:rsidP="006151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różnic kursowych (+13,4 mld zł).</w:t>
      </w:r>
    </w:p>
    <w:p w:rsidR="0061515D" w:rsidRPr="0061515D" w:rsidRDefault="0061515D" w:rsidP="0061515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koniec II kw. 2018 r. udział długu w walutach obcych w całym długu SP wyniósł 30,7%, tj. nie zmienił się w stosunku do poprzedniego kwartału.</w:t>
      </w:r>
    </w:p>
    <w:p w:rsidR="002209A3" w:rsidRPr="00BD7445" w:rsidRDefault="0061515D" w:rsidP="0061515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Udział długu wobec nierezydentów w długu ogółem na koniec II kw. 2018 r. wyniósł 49,0% wobec 50,1% na</w:t>
      </w:r>
      <w:r w:rsidRPr="0061515D">
        <w:t xml:space="preserve"> </w:t>
      </w:r>
      <w:r w:rsidRPr="0061515D">
        <w:rPr>
          <w:rFonts w:ascii="Times New Roman" w:hAnsi="Times New Roman"/>
          <w:sz w:val="20"/>
          <w:szCs w:val="20"/>
        </w:rPr>
        <w:t>koniec poprzedniego kwartału.</w:t>
      </w:r>
    </w:p>
    <w:p w:rsidR="0061515D" w:rsidRPr="0061515D" w:rsidRDefault="0061515D" w:rsidP="00F73240">
      <w:pPr>
        <w:keepNext/>
        <w:spacing w:before="120" w:after="60" w:line="288" w:lineRule="auto"/>
        <w:outlineLvl w:val="1"/>
        <w:rPr>
          <w:rFonts w:ascii="Arial" w:hAnsi="Arial" w:cs="Arial"/>
          <w:b/>
          <w:bCs/>
          <w:iCs/>
          <w:color w:val="E31837"/>
          <w:sz w:val="20"/>
          <w:szCs w:val="20"/>
        </w:rPr>
      </w:pPr>
      <w:bookmarkStart w:id="10" w:name="_Toc528155554"/>
      <w:r w:rsidRPr="0061515D">
        <w:rPr>
          <w:rFonts w:ascii="Arial" w:hAnsi="Arial" w:cs="Arial"/>
          <w:b/>
          <w:bCs/>
          <w:iCs/>
          <w:color w:val="E31837"/>
          <w:sz w:val="20"/>
          <w:szCs w:val="20"/>
        </w:rPr>
        <w:t xml:space="preserve">2.2. Potrzeby pożyczkowe budżetu państwa </w:t>
      </w:r>
      <w:r w:rsidRPr="0061515D">
        <w:rPr>
          <w:rFonts w:ascii="Arial" w:hAnsi="Arial" w:cs="Arial"/>
          <w:b/>
          <w:bCs/>
          <w:iCs/>
          <w:color w:val="E31837"/>
          <w:sz w:val="20"/>
          <w:szCs w:val="20"/>
        </w:rPr>
        <w:br/>
        <w:t>i ich finansowanie w II kwartale 2018 r.</w:t>
      </w:r>
      <w:bookmarkEnd w:id="10"/>
    </w:p>
    <w:p w:rsidR="0061515D" w:rsidRPr="0061515D" w:rsidRDefault="0061515D" w:rsidP="00C20EBC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Saldo potrzeb pożyczkowych netto budżetu państwa było ujemne i ukształtowało się na poziomie 4,6 mld zł, w tym:</w:t>
      </w:r>
    </w:p>
    <w:p w:rsidR="0061515D" w:rsidRPr="0061515D" w:rsidRDefault="0061515D" w:rsidP="00C20EBC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deficyt budżetu środków europejskich: 2,4 mld zł,</w:t>
      </w:r>
    </w:p>
    <w:p w:rsidR="0061515D" w:rsidRPr="0061515D" w:rsidRDefault="0061515D" w:rsidP="00C20EBC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transfery do OFE: 0,9 mld zł,</w:t>
      </w:r>
    </w:p>
    <w:p w:rsidR="0061515D" w:rsidRPr="0061515D" w:rsidRDefault="0061515D" w:rsidP="00C20EBC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kredyty i pożyczki udzielone oraz prefinansowanie: 0,1 mld zł,</w:t>
      </w:r>
    </w:p>
    <w:p w:rsidR="0061515D" w:rsidRPr="0061515D" w:rsidRDefault="0061515D" w:rsidP="00C20EBC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zarządzanie środkami europejskimi: 1,2 mld zł,</w:t>
      </w:r>
    </w:p>
    <w:p w:rsidR="0061515D" w:rsidRPr="0061515D" w:rsidRDefault="0061515D" w:rsidP="00C20EBC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pomniejszenie potrzeb z tytułu: nadwyżki budżetu państwa (6,4 mld zł), zarządzania płynnością sektora finansów publicznych (2,3 mld zł) oraz salda pozostałych przychodów i rozchodów (0,4 mld zł).</w:t>
      </w:r>
    </w:p>
    <w:p w:rsidR="0061515D" w:rsidRPr="0061515D" w:rsidRDefault="0061515D" w:rsidP="00C20EBC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Wartość długu przypadającego do wykupu w omawianym okresie wyniosła wg kapitału 34,5 mld zł, w tym krajowego 20,7 mld</w:t>
      </w:r>
      <w:r w:rsidR="00DF25C6">
        <w:rPr>
          <w:rFonts w:ascii="Times New Roman" w:hAnsi="Times New Roman"/>
          <w:sz w:val="20"/>
          <w:szCs w:val="20"/>
        </w:rPr>
        <w:t> zł, a </w:t>
      </w:r>
      <w:r w:rsidRPr="0061515D">
        <w:rPr>
          <w:rFonts w:ascii="Times New Roman" w:hAnsi="Times New Roman"/>
          <w:sz w:val="20"/>
          <w:szCs w:val="20"/>
        </w:rPr>
        <w:t xml:space="preserve">zagranicznego 13,8 mld zł. </w:t>
      </w:r>
      <w:r w:rsidRPr="0061515D">
        <w:rPr>
          <w:rFonts w:ascii="Times New Roman" w:hAnsi="Times New Roman"/>
          <w:b/>
          <w:sz w:val="20"/>
          <w:szCs w:val="20"/>
        </w:rPr>
        <w:t>Potrzeby pożyczkowe brutto</w:t>
      </w:r>
      <w:r w:rsidRPr="0061515D">
        <w:rPr>
          <w:rFonts w:ascii="Times New Roman" w:hAnsi="Times New Roman"/>
          <w:sz w:val="20"/>
          <w:szCs w:val="20"/>
        </w:rPr>
        <w:t xml:space="preserve">, tj. suma potrzeb netto i długu przypadającego </w:t>
      </w:r>
      <w:r w:rsidRPr="0061515D">
        <w:rPr>
          <w:rFonts w:ascii="Times New Roman" w:hAnsi="Times New Roman"/>
          <w:sz w:val="20"/>
          <w:szCs w:val="20"/>
        </w:rPr>
        <w:lastRenderedPageBreak/>
        <w:t xml:space="preserve">do wykupu, wyniosły 29,9 mld zł. Po uwzględnieniu przedterminowych odkupów (zarówno przeprowadzonych </w:t>
      </w:r>
      <w:r w:rsidR="00DF25C6">
        <w:rPr>
          <w:rFonts w:ascii="Times New Roman" w:hAnsi="Times New Roman"/>
          <w:sz w:val="20"/>
          <w:szCs w:val="20"/>
        </w:rPr>
        <w:t>w tym kwartale, jak i efektów z </w:t>
      </w:r>
      <w:r w:rsidRPr="0061515D">
        <w:rPr>
          <w:rFonts w:ascii="Times New Roman" w:hAnsi="Times New Roman"/>
          <w:sz w:val="20"/>
          <w:szCs w:val="20"/>
        </w:rPr>
        <w:t>poprzednich okresów), wykup długu wyniósł 40,8 mld zł (w tym krajowego 27,0 mld zł  i zagranicznego 13,8 mld zł).</w:t>
      </w:r>
    </w:p>
    <w:p w:rsidR="0061515D" w:rsidRPr="0061515D" w:rsidRDefault="0061515D" w:rsidP="00C20EBC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:rsidR="0061515D" w:rsidRPr="0061515D" w:rsidRDefault="0061515D" w:rsidP="00C20EBC">
      <w:pPr>
        <w:numPr>
          <w:ilvl w:val="0"/>
          <w:numId w:val="6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rynku krajowym środki pozyskano z emisji:</w:t>
      </w:r>
    </w:p>
    <w:p w:rsidR="0061515D" w:rsidRPr="0061515D" w:rsidRDefault="0061515D" w:rsidP="00C20EBC">
      <w:pPr>
        <w:widowControl w:val="0"/>
        <w:numPr>
          <w:ilvl w:val="0"/>
          <w:numId w:val="1"/>
        </w:numPr>
        <w:tabs>
          <w:tab w:val="clear" w:pos="360"/>
        </w:tabs>
        <w:spacing w:before="120"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obligacji hurtowych: 21,2 mld zł,</w:t>
      </w:r>
    </w:p>
    <w:p w:rsidR="0061515D" w:rsidRPr="0061515D" w:rsidRDefault="0061515D" w:rsidP="00C20EBC">
      <w:pPr>
        <w:widowControl w:val="0"/>
        <w:numPr>
          <w:ilvl w:val="0"/>
          <w:numId w:val="1"/>
        </w:numPr>
        <w:tabs>
          <w:tab w:val="clear" w:pos="360"/>
        </w:tabs>
        <w:spacing w:before="120"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obligacji detalicznych: 2,8 mld zł, w tym krótkoterminowych 1,0 mld zł,</w:t>
      </w:r>
    </w:p>
    <w:p w:rsidR="0061515D" w:rsidRPr="0061515D" w:rsidRDefault="0061515D" w:rsidP="00C20E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</w:t>
      </w:r>
      <w:r w:rsidRPr="0061515D">
        <w:rPr>
          <w:rFonts w:ascii="Times New Roman" w:hAnsi="Times New Roman" w:cs="Arial"/>
          <w:sz w:val="20"/>
          <w:szCs w:val="20"/>
        </w:rPr>
        <w:t xml:space="preserve">a rynkach </w:t>
      </w:r>
      <w:r w:rsidRPr="0061515D">
        <w:rPr>
          <w:rFonts w:ascii="Times New Roman" w:hAnsi="Times New Roman"/>
          <w:sz w:val="20"/>
          <w:szCs w:val="20"/>
        </w:rPr>
        <w:t>zagranicznych</w:t>
      </w:r>
      <w:r w:rsidRPr="0061515D">
        <w:rPr>
          <w:rFonts w:ascii="Times New Roman" w:hAnsi="Times New Roman" w:cs="Arial"/>
          <w:sz w:val="20"/>
          <w:szCs w:val="20"/>
        </w:rPr>
        <w:t xml:space="preserve"> środki pozyskano z</w:t>
      </w:r>
      <w:r w:rsidR="00DF25C6">
        <w:rPr>
          <w:rFonts w:ascii="Times New Roman" w:hAnsi="Times New Roman"/>
          <w:sz w:val="20"/>
          <w:szCs w:val="20"/>
        </w:rPr>
        <w:t> </w:t>
      </w:r>
      <w:r w:rsidRPr="0061515D">
        <w:rPr>
          <w:rFonts w:ascii="Times New Roman" w:hAnsi="Times New Roman"/>
          <w:sz w:val="20"/>
          <w:szCs w:val="20"/>
        </w:rPr>
        <w:t>kredytów w międzynarodowych instytucjach finansowych: 0,02 mld zł.</w:t>
      </w:r>
    </w:p>
    <w:p w:rsidR="0061515D" w:rsidRPr="0061515D" w:rsidRDefault="0061515D" w:rsidP="00C20EBC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W II kw. 2018 r. nastąpił:</w:t>
      </w:r>
    </w:p>
    <w:p w:rsidR="0061515D" w:rsidRPr="0061515D" w:rsidRDefault="0061515D" w:rsidP="00C20EBC">
      <w:pPr>
        <w:numPr>
          <w:ilvl w:val="0"/>
          <w:numId w:val="7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61515D" w:rsidRPr="0061515D" w:rsidRDefault="0061515D" w:rsidP="00C20EBC">
      <w:pPr>
        <w:spacing w:before="120" w:after="12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spadek środków na rachunkach budżetowych  o 11,6 mld zł do 55,5 mld zł,</w:t>
      </w:r>
    </w:p>
    <w:p w:rsidR="0061515D" w:rsidRPr="0061515D" w:rsidRDefault="0061515D" w:rsidP="00C20EBC">
      <w:pPr>
        <w:numPr>
          <w:ilvl w:val="0"/>
          <w:numId w:val="7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61515D" w:rsidRPr="0061515D" w:rsidRDefault="0061515D" w:rsidP="00C20EBC">
      <w:pPr>
        <w:spacing w:before="120" w:after="12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wzrost zadłużenia wobec krajowego sektora bankowego o 7,4 mld zł i sektora </w:t>
      </w:r>
      <w:proofErr w:type="spellStart"/>
      <w:r w:rsidRPr="0061515D">
        <w:rPr>
          <w:rFonts w:ascii="Times New Roman" w:hAnsi="Times New Roman"/>
          <w:sz w:val="20"/>
          <w:szCs w:val="20"/>
        </w:rPr>
        <w:t>pozabankowego</w:t>
      </w:r>
      <w:proofErr w:type="spellEnd"/>
      <w:r w:rsidRPr="0061515D">
        <w:rPr>
          <w:rFonts w:ascii="Times New Roman" w:hAnsi="Times New Roman"/>
          <w:sz w:val="20"/>
          <w:szCs w:val="20"/>
        </w:rPr>
        <w:t xml:space="preserve"> o 0,5 mld zł oraz spadek zadłużenia wobec nierezydentów o 10,7 mld zł, </w:t>
      </w:r>
    </w:p>
    <w:p w:rsidR="0061515D" w:rsidRPr="0061515D" w:rsidRDefault="0061515D" w:rsidP="00C20EBC">
      <w:pPr>
        <w:numPr>
          <w:ilvl w:val="0"/>
          <w:numId w:val="7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rynku polskich obligacji:</w:t>
      </w:r>
    </w:p>
    <w:p w:rsidR="0061515D" w:rsidRPr="0061515D" w:rsidRDefault="0061515D" w:rsidP="00C20EBC">
      <w:pPr>
        <w:widowControl w:val="0"/>
        <w:numPr>
          <w:ilvl w:val="0"/>
          <w:numId w:val="1"/>
        </w:numPr>
        <w:tabs>
          <w:tab w:val="clear" w:pos="360"/>
        </w:tabs>
        <w:spacing w:before="12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rynku krajowym: wzrost rentowności na krótkim końcu i środku krzywej dochodowości - na koniec kwartału dla obligacji 2-, 5- i 10-</w:t>
      </w:r>
      <w:r w:rsidRPr="0061515D">
        <w:rPr>
          <w:rFonts w:ascii="Times New Roman" w:hAnsi="Times New Roman"/>
          <w:sz w:val="20"/>
          <w:szCs w:val="20"/>
        </w:rPr>
        <w:lastRenderedPageBreak/>
        <w:t xml:space="preserve">letnich rentowności wyniosły odpowiednio 1,6% (+0,1 </w:t>
      </w:r>
      <w:proofErr w:type="spellStart"/>
      <w:r w:rsidRPr="0061515D">
        <w:rPr>
          <w:rFonts w:ascii="Times New Roman" w:hAnsi="Times New Roman"/>
          <w:sz w:val="20"/>
          <w:szCs w:val="20"/>
        </w:rPr>
        <w:t>pp</w:t>
      </w:r>
      <w:proofErr w:type="spellEnd"/>
      <w:r w:rsidRPr="0061515D">
        <w:rPr>
          <w:rFonts w:ascii="Times New Roman" w:hAnsi="Times New Roman"/>
          <w:sz w:val="20"/>
          <w:szCs w:val="20"/>
        </w:rPr>
        <w:t xml:space="preserve">), 2,6% (+0,2 </w:t>
      </w:r>
      <w:proofErr w:type="spellStart"/>
      <w:r w:rsidRPr="0061515D">
        <w:rPr>
          <w:rFonts w:ascii="Times New Roman" w:hAnsi="Times New Roman"/>
          <w:sz w:val="20"/>
          <w:szCs w:val="20"/>
        </w:rPr>
        <w:t>pp</w:t>
      </w:r>
      <w:proofErr w:type="spellEnd"/>
      <w:r w:rsidRPr="0061515D">
        <w:rPr>
          <w:rFonts w:ascii="Times New Roman" w:hAnsi="Times New Roman"/>
          <w:sz w:val="20"/>
          <w:szCs w:val="20"/>
        </w:rPr>
        <w:t>) oraz 3,2% (</w:t>
      </w:r>
      <w:proofErr w:type="spellStart"/>
      <w:r w:rsidRPr="0061515D">
        <w:rPr>
          <w:rFonts w:ascii="Times New Roman" w:hAnsi="Times New Roman"/>
          <w:sz w:val="20"/>
          <w:szCs w:val="20"/>
        </w:rPr>
        <w:t>bz</w:t>
      </w:r>
      <w:proofErr w:type="spellEnd"/>
      <w:r w:rsidRPr="0061515D">
        <w:rPr>
          <w:rFonts w:ascii="Times New Roman" w:hAnsi="Times New Roman"/>
          <w:sz w:val="20"/>
          <w:szCs w:val="20"/>
        </w:rPr>
        <w:t>),</w:t>
      </w:r>
    </w:p>
    <w:p w:rsidR="0061515D" w:rsidRPr="0061515D" w:rsidRDefault="0061515D" w:rsidP="00C20EBC">
      <w:pPr>
        <w:widowControl w:val="0"/>
        <w:numPr>
          <w:ilvl w:val="0"/>
          <w:numId w:val="1"/>
        </w:numPr>
        <w:tabs>
          <w:tab w:val="clear" w:pos="360"/>
        </w:tabs>
        <w:spacing w:before="12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rynku obligacji w euro: spadek rentowności na krótkim końcu i środku krzywej dochodowości - na koniec kwartału dla obligacji 2-, 5- i 10-letnich rentowności wyniosły odpowie</w:t>
      </w:r>
      <w:r w:rsidRPr="0061515D">
        <w:rPr>
          <w:rFonts w:ascii="Times New Roman" w:hAnsi="Times New Roman"/>
          <w:sz w:val="20"/>
          <w:szCs w:val="20"/>
        </w:rPr>
        <w:softHyphen/>
        <w:t>dnio -0,2%(-0,1 </w:t>
      </w:r>
      <w:proofErr w:type="spellStart"/>
      <w:r w:rsidRPr="0061515D">
        <w:rPr>
          <w:rFonts w:ascii="Times New Roman" w:hAnsi="Times New Roman"/>
          <w:sz w:val="20"/>
          <w:szCs w:val="20"/>
        </w:rPr>
        <w:t>pp</w:t>
      </w:r>
      <w:proofErr w:type="spellEnd"/>
      <w:r w:rsidRPr="0061515D">
        <w:rPr>
          <w:rFonts w:ascii="Times New Roman" w:hAnsi="Times New Roman"/>
          <w:sz w:val="20"/>
          <w:szCs w:val="20"/>
        </w:rPr>
        <w:t xml:space="preserve">), 0,5% (-0,1 </w:t>
      </w:r>
      <w:proofErr w:type="spellStart"/>
      <w:r w:rsidRPr="0061515D">
        <w:rPr>
          <w:rFonts w:ascii="Times New Roman" w:hAnsi="Times New Roman"/>
          <w:sz w:val="20"/>
          <w:szCs w:val="20"/>
        </w:rPr>
        <w:t>pp</w:t>
      </w:r>
      <w:proofErr w:type="spellEnd"/>
      <w:r w:rsidRPr="0061515D">
        <w:rPr>
          <w:rFonts w:ascii="Times New Roman" w:hAnsi="Times New Roman"/>
          <w:sz w:val="20"/>
          <w:szCs w:val="20"/>
        </w:rPr>
        <w:t>) oraz 1,3% (</w:t>
      </w:r>
      <w:proofErr w:type="spellStart"/>
      <w:r w:rsidRPr="0061515D">
        <w:rPr>
          <w:rFonts w:ascii="Times New Roman" w:hAnsi="Times New Roman"/>
          <w:sz w:val="20"/>
          <w:szCs w:val="20"/>
        </w:rPr>
        <w:t>bz</w:t>
      </w:r>
      <w:proofErr w:type="spellEnd"/>
      <w:r w:rsidRPr="0061515D">
        <w:rPr>
          <w:rFonts w:ascii="Times New Roman" w:hAnsi="Times New Roman"/>
          <w:sz w:val="20"/>
          <w:szCs w:val="20"/>
        </w:rPr>
        <w:t xml:space="preserve">).  </w:t>
      </w:r>
    </w:p>
    <w:tbl>
      <w:tblPr>
        <w:tblpPr w:leftFromText="141" w:rightFromText="141" w:vertAnchor="text" w:horzAnchor="margin" w:tblpY="134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61515D" w:rsidRPr="0061515D" w:rsidTr="0061515D">
        <w:trPr>
          <w:gridAfter w:val="1"/>
          <w:wAfter w:w="38" w:type="dxa"/>
          <w:trHeight w:val="611"/>
        </w:trPr>
        <w:tc>
          <w:tcPr>
            <w:tcW w:w="4515" w:type="dxa"/>
          </w:tcPr>
          <w:p w:rsidR="0061515D" w:rsidRPr="00917E71" w:rsidRDefault="0061515D" w:rsidP="00917E71">
            <w:pPr>
              <w:keepNext/>
              <w:spacing w:before="120" w:after="0" w:line="288" w:lineRule="auto"/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</w:pPr>
            <w:r w:rsidRPr="00917E7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917E7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7</w:t>
            </w:r>
            <w:r w:rsidRPr="00917E7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Rentowności SPW – rynek wtórny</w:t>
            </w:r>
          </w:p>
        </w:tc>
      </w:tr>
      <w:tr w:rsidR="0061515D" w:rsidRPr="0061515D" w:rsidTr="0061515D">
        <w:tblPrEx>
          <w:tblCellMar>
            <w:left w:w="70" w:type="dxa"/>
            <w:right w:w="70" w:type="dxa"/>
          </w:tblCellMar>
        </w:tblPrEx>
        <w:trPr>
          <w:trHeight w:val="1736"/>
        </w:trPr>
        <w:tc>
          <w:tcPr>
            <w:tcW w:w="4553" w:type="dxa"/>
            <w:gridSpan w:val="2"/>
          </w:tcPr>
          <w:p w:rsidR="0061515D" w:rsidRPr="0061515D" w:rsidRDefault="0061515D" w:rsidP="0061515D">
            <w:pPr>
              <w:keepNext/>
              <w:spacing w:before="60" w:after="60" w:line="288" w:lineRule="auto"/>
              <w:ind w:left="-108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 w:rsidRPr="0061515D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321071A" wp14:editId="551A7704">
                  <wp:extent cx="2802255" cy="1979295"/>
                  <wp:effectExtent l="0" t="0" r="0" b="1905"/>
                  <wp:docPr id="1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55" cy="19792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5D" w:rsidRPr="0061515D" w:rsidTr="0061515D">
        <w:trPr>
          <w:gridAfter w:val="1"/>
          <w:wAfter w:w="38" w:type="dxa"/>
          <w:trHeight w:val="144"/>
        </w:trPr>
        <w:tc>
          <w:tcPr>
            <w:tcW w:w="4515" w:type="dxa"/>
          </w:tcPr>
          <w:p w:rsidR="0061515D" w:rsidRPr="00917E71" w:rsidRDefault="0061515D" w:rsidP="00917E71">
            <w:pPr>
              <w:keepNext/>
              <w:spacing w:before="120" w:after="60" w:line="288" w:lineRule="auto"/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</w:pPr>
            <w:r w:rsidRPr="00917E7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61515D" w:rsidRPr="0061515D" w:rsidRDefault="0061515D" w:rsidP="0061515D">
      <w:pPr>
        <w:rPr>
          <w:highlight w:val="yellow"/>
        </w:rPr>
      </w:pPr>
    </w:p>
    <w:p w:rsidR="00BD7445" w:rsidRPr="00D55FD4" w:rsidRDefault="00BD7445" w:rsidP="00BD7445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84F5D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  <w:sectPr w:rsidR="00D84F5D" w:rsidSect="005725A7">
          <w:headerReference w:type="first" r:id="rId19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:rsidR="003262D7" w:rsidRPr="003262D7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11" w:name="_Toc528155555"/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lastRenderedPageBreak/>
        <w:t>NO</w:t>
      </w:r>
      <w:r w:rsidRPr="00D1237C">
        <w:rPr>
          <w:rFonts w:ascii="Arial" w:hAnsi="Arial" w:cs="Arial"/>
          <w:bCs w:val="0"/>
          <w:color w:val="E31837"/>
          <w:kern w:val="0"/>
          <w:sz w:val="28"/>
          <w:szCs w:val="28"/>
        </w:rPr>
        <w:t xml:space="preserve">TA </w:t>
      </w:r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METODYCZNA</w:t>
      </w:r>
      <w:bookmarkEnd w:id="11"/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Dane o budżecie państwa prezentowane są zgodnie z krajową metodol</w:t>
      </w:r>
      <w:r>
        <w:rPr>
          <w:rFonts w:ascii="Arial" w:hAnsi="Arial" w:cs="Arial"/>
          <w:b/>
          <w:color w:val="ADAFB2"/>
          <w:sz w:val="20"/>
          <w:szCs w:val="20"/>
        </w:rPr>
        <w:t>ogią, tj. w układzie kasowym (z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pewnymi wyjątkami) i  zgodnie z definicjami przejętymi w Ustaw</w:t>
      </w:r>
      <w:r>
        <w:rPr>
          <w:rFonts w:ascii="Arial" w:hAnsi="Arial" w:cs="Arial"/>
          <w:b/>
          <w:color w:val="ADAFB2"/>
          <w:sz w:val="20"/>
          <w:szCs w:val="20"/>
        </w:rPr>
        <w:t>ie z dnia 27 sierpnia 2009 r. o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finansach publicznych (tekst jednolity Dz.U. z 2013 poz. 885 z </w:t>
      </w:r>
      <w:proofErr w:type="spellStart"/>
      <w:r w:rsidRPr="007837F6">
        <w:rPr>
          <w:rFonts w:ascii="Arial" w:hAnsi="Arial" w:cs="Arial"/>
          <w:b/>
          <w:color w:val="ADAFB2"/>
          <w:sz w:val="20"/>
          <w:szCs w:val="20"/>
        </w:rPr>
        <w:t>późn</w:t>
      </w:r>
      <w:proofErr w:type="spellEnd"/>
      <w:r w:rsidRPr="007837F6">
        <w:rPr>
          <w:rFonts w:ascii="Arial" w:hAnsi="Arial" w:cs="Arial"/>
          <w:b/>
          <w:color w:val="ADAFB2"/>
          <w:sz w:val="20"/>
          <w:szCs w:val="20"/>
        </w:rPr>
        <w:t>. zm.):</w:t>
      </w:r>
    </w:p>
    <w:p w:rsidR="003262D7" w:rsidRPr="007837F6" w:rsidRDefault="006E455A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20" w:history="1">
        <w:r w:rsidR="003262D7" w:rsidRPr="00C94AA6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:rsidR="003262D7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szczeblu centralnym prezentowane są w ujęciu kasowym oraz po eliminacji wewnętrznych przepływów.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Więcej 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na: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  <w:hyperlink r:id="rId21" w:history="1">
        <w:r w:rsidRPr="00C94AA6">
          <w:rPr>
            <w:rStyle w:val="Hipercze"/>
            <w:rFonts w:ascii="Arial" w:hAnsi="Arial" w:cs="Arial"/>
            <w:b/>
            <w:sz w:val="20"/>
            <w:szCs w:val="20"/>
          </w:rPr>
          <w:t>http://www.mf.gov.pl/documents/764034/1002148/metodologia+wersja+polska2001.pdf</w:t>
        </w:r>
      </w:hyperlink>
    </w:p>
    <w:p w:rsidR="003262D7" w:rsidRPr="00D1237C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zgodnie z Rozporządzeniem PE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</w:t>
      </w:r>
      <w:r>
        <w:rPr>
          <w:rFonts w:ascii="Arial" w:hAnsi="Arial" w:cs="Arial"/>
          <w:b/>
          <w:color w:val="ADAFB2"/>
          <w:sz w:val="20"/>
          <w:szCs w:val="20"/>
        </w:rPr>
        <w:t>są prezentowane, podobnie jak w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GFSM2001, po eliminacji wewnętrznych przepływów, jednak różnią się od danych GFSM2001 odmienną koncepcją rachunkową (są to dane memoriałowe, z pewnymi dostosowaniami) oraz odmienną klasyfikacją niektórych transakcji. Deficyt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sektora instytucji rządowych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samorządowych obliczony wedłu</w:t>
      </w:r>
      <w:r>
        <w:rPr>
          <w:rFonts w:ascii="Arial" w:hAnsi="Arial" w:cs="Arial"/>
          <w:b/>
          <w:color w:val="ADAFB2"/>
          <w:sz w:val="20"/>
          <w:szCs w:val="20"/>
        </w:rPr>
        <w:t>g zasad ESA2010 stanowi jeden 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elementów kryterium fiskaln</w:t>
      </w:r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ego z </w:t>
      </w:r>
      <w:proofErr w:type="spellStart"/>
      <w:r w:rsidR="00A82C2A">
        <w:rPr>
          <w:rFonts w:ascii="Arial" w:hAnsi="Arial" w:cs="Arial"/>
          <w:b/>
          <w:color w:val="ADAFB2"/>
          <w:sz w:val="20"/>
          <w:szCs w:val="20"/>
        </w:rPr>
        <w:t>Maastricht</w:t>
      </w:r>
      <w:proofErr w:type="spellEnd"/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 (drugim jest dł</w:t>
      </w:r>
      <w:r w:rsidRPr="007837F6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7837F6">
        <w:rPr>
          <w:rFonts w:ascii="Arial" w:hAnsi="Arial" w:cs="Arial"/>
          <w:b/>
          <w:color w:val="ADAFB2"/>
          <w:sz w:val="24"/>
          <w:szCs w:val="24"/>
        </w:rPr>
        <w:t>: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hyperlink r:id="rId22" w:history="1">
        <w:r w:rsidRPr="00442CC9">
          <w:rPr>
            <w:rStyle w:val="Hipercze"/>
            <w:rFonts w:ascii="Arial" w:hAnsi="Arial" w:cs="Arial"/>
            <w:b/>
            <w:sz w:val="20"/>
            <w:szCs w:val="20"/>
          </w:rPr>
          <w:t>http://stat.gov.pl/obszary-tematyczne/rachunki-narodowe/europejski-system-rachunkow-narodowych-i-regionalnych-esa-2010/rozporzadzenie-parlamentu-europejskiego-i-rady-ue-nr-5492013-z-dnia-21-maja-2013-r-,1,1.html</w:t>
        </w:r>
      </w:hyperlink>
      <w:r w:rsidRPr="007837F6">
        <w:rPr>
          <w:rFonts w:ascii="Arial" w:hAnsi="Arial" w:cs="Arial"/>
          <w:b/>
          <w:color w:val="ADAFB2"/>
          <w:sz w:val="20"/>
          <w:szCs w:val="20"/>
        </w:rPr>
        <w:t>.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804DD1" w:rsidRDefault="00804DD1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C2261E" w:rsidRDefault="000404D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6704" behindDoc="1" locked="0" layoutInCell="1" allowOverlap="1" wp14:anchorId="7CE1512E" wp14:editId="6AF4415A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9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1E" w:rsidRDefault="00C2261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B6D6D" w:rsidRDefault="00EB6D6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A3676D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2" w:name="_Toc528155556"/>
      <w:r w:rsidRPr="00A3676D">
        <w:rPr>
          <w:rFonts w:ascii="Arial" w:hAnsi="Arial" w:cs="Arial"/>
          <w:color w:val="E31837"/>
          <w:sz w:val="40"/>
          <w:szCs w:val="40"/>
        </w:rPr>
        <w:t xml:space="preserve">ANEKS </w:t>
      </w:r>
      <w:r w:rsidR="00A3676D" w:rsidRPr="00A3676D">
        <w:rPr>
          <w:rFonts w:ascii="Arial" w:hAnsi="Arial" w:cs="Arial"/>
          <w:color w:val="E31837"/>
          <w:sz w:val="40"/>
          <w:szCs w:val="40"/>
        </w:rPr>
        <w:t xml:space="preserve"> </w:t>
      </w:r>
      <w:r w:rsidRPr="00A3676D">
        <w:rPr>
          <w:rFonts w:ascii="Arial" w:hAnsi="Arial" w:cs="Arial"/>
          <w:color w:val="E31837"/>
          <w:sz w:val="40"/>
          <w:szCs w:val="40"/>
        </w:rPr>
        <w:t>STATYSTYCZNY</w:t>
      </w:r>
      <w:bookmarkEnd w:id="12"/>
      <w:r w:rsidR="009F1CD8">
        <w:rPr>
          <w:rFonts w:ascii="Arial" w:hAnsi="Arial" w:cs="Arial"/>
          <w:color w:val="E31837"/>
          <w:sz w:val="40"/>
          <w:szCs w:val="40"/>
        </w:rPr>
        <w:t xml:space="preserve"> </w:t>
      </w:r>
      <w:r w:rsidR="00A10DA3">
        <w:rPr>
          <w:rFonts w:ascii="Arial" w:hAnsi="Arial" w:cs="Arial"/>
          <w:color w:val="E31837"/>
          <w:sz w:val="40"/>
          <w:szCs w:val="40"/>
        </w:rPr>
        <w:br/>
      </w:r>
    </w:p>
    <w:p w:rsidR="00E120D2" w:rsidRDefault="00E120D2" w:rsidP="00E120D2"/>
    <w:p w:rsidR="00E120D2" w:rsidRPr="00E120D2" w:rsidRDefault="00E120D2" w:rsidP="00E120D2"/>
    <w:p w:rsidR="00E120D2" w:rsidRPr="009567F0" w:rsidRDefault="00E120D2" w:rsidP="009567F0"/>
    <w:p w:rsidR="009567F0" w:rsidRDefault="009567F0" w:rsidP="009567F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</w:t>
      </w:r>
      <w:r w:rsidR="009F1CD8">
        <w:rPr>
          <w:rFonts w:ascii="Arial" w:hAnsi="Arial" w:cs="Arial"/>
          <w:b/>
          <w:color w:val="E31837"/>
          <w:sz w:val="28"/>
          <w:szCs w:val="28"/>
        </w:rPr>
        <w:t>ABLIC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wskaźniki makroekonomiczne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ESA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2010) sektor instytucji rządowych i samorządowych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6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sprawozdawczości krajowej) budżet państwa</w:t>
      </w:r>
    </w:p>
    <w:p w:rsidR="00D074C7" w:rsidRPr="007910F9" w:rsidRDefault="00D074C7" w:rsidP="00D074C7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10</w:t>
      </w:r>
      <w:r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</w:t>
      </w:r>
      <w:r>
        <w:rPr>
          <w:rFonts w:ascii="Arial" w:hAnsi="Arial" w:cs="Arial"/>
          <w:b/>
          <w:color w:val="ADAFB2"/>
          <w:sz w:val="20"/>
          <w:szCs w:val="20"/>
        </w:rPr>
        <w:t>–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>
        <w:rPr>
          <w:rFonts w:ascii="Arial" w:hAnsi="Arial" w:cs="Arial"/>
          <w:b/>
          <w:color w:val="ADAFB2"/>
          <w:sz w:val="20"/>
          <w:szCs w:val="20"/>
        </w:rPr>
        <w:t>jednostki samorządu terytorialnego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="007910F9"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- Państwowe fundusze celowe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Tablice </w:t>
      </w:r>
      <w:r w:rsidR="00D77A4A">
        <w:rPr>
          <w:rFonts w:ascii="Arial" w:hAnsi="Arial" w:cs="Arial"/>
          <w:b/>
          <w:color w:val="ADAFB2"/>
          <w:sz w:val="20"/>
          <w:szCs w:val="20"/>
        </w:rPr>
        <w:t>20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="00D77A4A">
        <w:rPr>
          <w:rFonts w:ascii="Arial" w:hAnsi="Arial" w:cs="Arial"/>
          <w:b/>
          <w:color w:val="ADAFB2"/>
          <w:sz w:val="20"/>
          <w:szCs w:val="20"/>
        </w:rPr>
        <w:t>22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(wg. metodologii GFSM2001)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4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Zadłużenie sektora instytucji rządowych i samorządowych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(wg. ESA 2010)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6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</w:t>
      </w:r>
      <w:r w:rsidR="00740A4E">
        <w:rPr>
          <w:rFonts w:ascii="Arial" w:hAnsi="Arial" w:cs="Arial"/>
          <w:b/>
          <w:color w:val="ADAFB2"/>
          <w:sz w:val="20"/>
          <w:szCs w:val="20"/>
        </w:rPr>
        <w:t>D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ług </w:t>
      </w:r>
      <w:r w:rsidR="00740A4E">
        <w:rPr>
          <w:rFonts w:ascii="Arial" w:hAnsi="Arial" w:cs="Arial"/>
          <w:b/>
          <w:color w:val="ADAFB2"/>
          <w:sz w:val="20"/>
          <w:szCs w:val="20"/>
        </w:rPr>
        <w:t>P</w:t>
      </w:r>
      <w:r w:rsidRPr="007910F9">
        <w:rPr>
          <w:rFonts w:ascii="Arial" w:hAnsi="Arial" w:cs="Arial"/>
          <w:b/>
          <w:color w:val="ADAFB2"/>
          <w:sz w:val="20"/>
          <w:szCs w:val="20"/>
        </w:rPr>
        <w:t>ubliczny</w:t>
      </w:r>
    </w:p>
    <w:p w:rsidR="009F1CD8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7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8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</w:t>
      </w:r>
      <w:r w:rsidR="00740A4E">
        <w:rPr>
          <w:rFonts w:ascii="Arial" w:hAnsi="Arial" w:cs="Arial"/>
          <w:b/>
          <w:color w:val="ADAFB2"/>
          <w:sz w:val="20"/>
          <w:szCs w:val="20"/>
        </w:rPr>
        <w:t>Z</w:t>
      </w:r>
      <w:r w:rsidRPr="007910F9">
        <w:rPr>
          <w:rFonts w:ascii="Arial" w:hAnsi="Arial" w:cs="Arial"/>
          <w:b/>
          <w:color w:val="ADAFB2"/>
          <w:sz w:val="20"/>
          <w:szCs w:val="20"/>
        </w:rPr>
        <w:t>adłużenie Skarbu Państwa</w:t>
      </w:r>
    </w:p>
    <w:sectPr w:rsidR="009F1CD8" w:rsidRPr="007910F9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4C" w:rsidRDefault="006D274C" w:rsidP="0015295C">
      <w:pPr>
        <w:spacing w:after="0" w:line="240" w:lineRule="auto"/>
      </w:pPr>
      <w:r>
        <w:separator/>
      </w:r>
    </w:p>
  </w:endnote>
  <w:end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F3" w:rsidRPr="005221F8" w:rsidRDefault="0044114E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="002529F3" w:rsidRPr="005221F8">
      <w:rPr>
        <w:color w:val="ADAFB2"/>
      </w:rPr>
      <w:tab/>
    </w:r>
    <w:r w:rsidR="002529F3" w:rsidRPr="005221F8">
      <w:rPr>
        <w:color w:val="ADAFB2"/>
      </w:rPr>
      <w:tab/>
    </w:r>
    <w:r w:rsidR="002529F3" w:rsidRPr="005221F8">
      <w:rPr>
        <w:rStyle w:val="Numerstrony"/>
        <w:color w:val="ADAFB2"/>
      </w:rPr>
      <w:fldChar w:fldCharType="begin"/>
    </w:r>
    <w:r w:rsidR="002529F3" w:rsidRPr="005221F8">
      <w:rPr>
        <w:rStyle w:val="Numerstrony"/>
        <w:color w:val="ADAFB2"/>
      </w:rPr>
      <w:instrText xml:space="preserve"> PAGE </w:instrText>
    </w:r>
    <w:r w:rsidR="002529F3" w:rsidRPr="005221F8">
      <w:rPr>
        <w:rStyle w:val="Numerstrony"/>
        <w:color w:val="ADAFB2"/>
      </w:rPr>
      <w:fldChar w:fldCharType="separate"/>
    </w:r>
    <w:r w:rsidR="006E455A">
      <w:rPr>
        <w:rStyle w:val="Numerstrony"/>
        <w:noProof/>
        <w:color w:val="ADAFB2"/>
      </w:rPr>
      <w:t>5</w:t>
    </w:r>
    <w:r w:rsidR="002529F3" w:rsidRPr="005221F8">
      <w:rPr>
        <w:rStyle w:val="Numerstrony"/>
        <w:color w:val="ADAFB2"/>
      </w:rPr>
      <w:fldChar w:fldCharType="end"/>
    </w:r>
  </w:p>
  <w:p w:rsidR="002529F3" w:rsidRPr="005221F8" w:rsidRDefault="002529F3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200F64">
      <w:rPr>
        <w:color w:val="ADAFB2"/>
      </w:rPr>
      <w:t>4</w:t>
    </w:r>
    <w:r w:rsidRPr="005221F8">
      <w:rPr>
        <w:color w:val="ADAFB2"/>
      </w:rPr>
      <w:t xml:space="preserve"> / 201</w:t>
    </w:r>
    <w:r w:rsidR="00C02862">
      <w:rPr>
        <w:color w:val="ADAFB2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60" w:rsidRDefault="00432960" w:rsidP="00D44B43">
    <w:pPr>
      <w:pStyle w:val="Stopka"/>
      <w:rPr>
        <w:color w:val="ADAFB2"/>
      </w:rPr>
    </w:pPr>
  </w:p>
  <w:p w:rsidR="0081680F" w:rsidRPr="005221F8" w:rsidRDefault="00607B5E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="0081680F" w:rsidRPr="005221F8">
      <w:rPr>
        <w:color w:val="ADAFB2"/>
      </w:rPr>
      <w:tab/>
    </w:r>
    <w:r w:rsidR="0081680F" w:rsidRPr="005221F8">
      <w:rPr>
        <w:color w:val="ADAFB2"/>
      </w:rPr>
      <w:tab/>
    </w:r>
    <w:r w:rsidR="0081680F" w:rsidRPr="005221F8">
      <w:rPr>
        <w:rStyle w:val="Numerstrony"/>
        <w:color w:val="ADAFB2"/>
      </w:rPr>
      <w:fldChar w:fldCharType="begin"/>
    </w:r>
    <w:r w:rsidR="0081680F" w:rsidRPr="005221F8">
      <w:rPr>
        <w:rStyle w:val="Numerstrony"/>
        <w:color w:val="ADAFB2"/>
      </w:rPr>
      <w:instrText xml:space="preserve"> PAGE </w:instrText>
    </w:r>
    <w:r w:rsidR="0081680F" w:rsidRPr="005221F8">
      <w:rPr>
        <w:rStyle w:val="Numerstrony"/>
        <w:color w:val="ADAFB2"/>
      </w:rPr>
      <w:fldChar w:fldCharType="separate"/>
    </w:r>
    <w:r w:rsidR="006E455A">
      <w:rPr>
        <w:rStyle w:val="Numerstrony"/>
        <w:noProof/>
        <w:color w:val="ADAFB2"/>
      </w:rPr>
      <w:t>9</w:t>
    </w:r>
    <w:r w:rsidR="0081680F" w:rsidRPr="005221F8">
      <w:rPr>
        <w:rStyle w:val="Numerstrony"/>
        <w:color w:val="ADAFB2"/>
      </w:rPr>
      <w:fldChar w:fldCharType="end"/>
    </w:r>
  </w:p>
  <w:p w:rsidR="0081680F" w:rsidRPr="005221F8" w:rsidRDefault="0081680F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200F64">
      <w:rPr>
        <w:color w:val="ADAFB2"/>
      </w:rPr>
      <w:t>4</w:t>
    </w:r>
    <w:r w:rsidRPr="005221F8">
      <w:rPr>
        <w:color w:val="ADAFB2"/>
      </w:rPr>
      <w:t xml:space="preserve"> / 201</w:t>
    </w:r>
    <w:r w:rsidR="00C02862">
      <w:rPr>
        <w:color w:val="ADAFB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4C" w:rsidRDefault="006D274C" w:rsidP="0015295C">
      <w:pPr>
        <w:spacing w:after="0" w:line="240" w:lineRule="auto"/>
      </w:pPr>
      <w:r>
        <w:separator/>
      </w:r>
    </w:p>
  </w:footnote>
  <w:foot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F" w:rsidRDefault="00040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5290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80F" w:rsidRPr="0029567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:rsidR="0081680F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:rsidR="0081680F" w:rsidRPr="00D06614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:rsidR="0081680F" w:rsidRPr="001F7BF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:rsidR="0081680F" w:rsidRPr="0029567C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:rsidR="0081680F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:rsidR="0081680F" w:rsidRPr="00D06614" w:rsidRDefault="0081680F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81680F" w:rsidRPr="001F7BFC" w:rsidRDefault="0081680F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92" w:rsidRDefault="009F5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E6670B"/>
    <w:multiLevelType w:val="hybridMultilevel"/>
    <w:tmpl w:val="BFF2351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F721D0A"/>
    <w:multiLevelType w:val="hybridMultilevel"/>
    <w:tmpl w:val="6B528800"/>
    <w:lvl w:ilvl="0" w:tplc="4468B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5118B1"/>
    <w:multiLevelType w:val="hybridMultilevel"/>
    <w:tmpl w:val="BB0A2620"/>
    <w:lvl w:ilvl="0" w:tplc="C21C55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1"/>
    <w:rsid w:val="00000507"/>
    <w:rsid w:val="00000BC6"/>
    <w:rsid w:val="000061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6C88"/>
    <w:rsid w:val="00027561"/>
    <w:rsid w:val="00030A43"/>
    <w:rsid w:val="000404D4"/>
    <w:rsid w:val="000406B8"/>
    <w:rsid w:val="00041977"/>
    <w:rsid w:val="00042F8F"/>
    <w:rsid w:val="0004308B"/>
    <w:rsid w:val="00044E4A"/>
    <w:rsid w:val="00045CA7"/>
    <w:rsid w:val="00050E88"/>
    <w:rsid w:val="00051F46"/>
    <w:rsid w:val="00054C08"/>
    <w:rsid w:val="00057D54"/>
    <w:rsid w:val="0006107D"/>
    <w:rsid w:val="000642F2"/>
    <w:rsid w:val="00065052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80862"/>
    <w:rsid w:val="000808CE"/>
    <w:rsid w:val="00080F1F"/>
    <w:rsid w:val="000818AF"/>
    <w:rsid w:val="00082590"/>
    <w:rsid w:val="000836F4"/>
    <w:rsid w:val="00083E9F"/>
    <w:rsid w:val="000867E8"/>
    <w:rsid w:val="00091737"/>
    <w:rsid w:val="00092DA3"/>
    <w:rsid w:val="00093E74"/>
    <w:rsid w:val="00094144"/>
    <w:rsid w:val="00094E6A"/>
    <w:rsid w:val="000954C1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4812"/>
    <w:rsid w:val="000B534A"/>
    <w:rsid w:val="000B570F"/>
    <w:rsid w:val="000C08CF"/>
    <w:rsid w:val="000C6ADA"/>
    <w:rsid w:val="000C7804"/>
    <w:rsid w:val="000C79AA"/>
    <w:rsid w:val="000D0CB3"/>
    <w:rsid w:val="000D1F2D"/>
    <w:rsid w:val="000D31EE"/>
    <w:rsid w:val="000D3BDA"/>
    <w:rsid w:val="000D41EB"/>
    <w:rsid w:val="000D4A40"/>
    <w:rsid w:val="000D62FC"/>
    <w:rsid w:val="000D6B6F"/>
    <w:rsid w:val="000E16EF"/>
    <w:rsid w:val="000E4111"/>
    <w:rsid w:val="000E691C"/>
    <w:rsid w:val="000E6C86"/>
    <w:rsid w:val="000F07EE"/>
    <w:rsid w:val="000F1858"/>
    <w:rsid w:val="000F194D"/>
    <w:rsid w:val="000F1AC9"/>
    <w:rsid w:val="000F1B21"/>
    <w:rsid w:val="000F77DC"/>
    <w:rsid w:val="00100151"/>
    <w:rsid w:val="001003EA"/>
    <w:rsid w:val="00101287"/>
    <w:rsid w:val="00101324"/>
    <w:rsid w:val="0010291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5A96"/>
    <w:rsid w:val="00127D06"/>
    <w:rsid w:val="00130371"/>
    <w:rsid w:val="00130D8A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2BDE"/>
    <w:rsid w:val="00144B16"/>
    <w:rsid w:val="00147DCE"/>
    <w:rsid w:val="0015152D"/>
    <w:rsid w:val="00151CEC"/>
    <w:rsid w:val="0015295C"/>
    <w:rsid w:val="0015452B"/>
    <w:rsid w:val="00155BEC"/>
    <w:rsid w:val="00157279"/>
    <w:rsid w:val="00162265"/>
    <w:rsid w:val="00162356"/>
    <w:rsid w:val="00162480"/>
    <w:rsid w:val="001642FC"/>
    <w:rsid w:val="00165075"/>
    <w:rsid w:val="001676EF"/>
    <w:rsid w:val="00176E8C"/>
    <w:rsid w:val="00184FD0"/>
    <w:rsid w:val="00186282"/>
    <w:rsid w:val="0018746D"/>
    <w:rsid w:val="00190CD4"/>
    <w:rsid w:val="00191353"/>
    <w:rsid w:val="00191422"/>
    <w:rsid w:val="00193793"/>
    <w:rsid w:val="00193A07"/>
    <w:rsid w:val="00193C91"/>
    <w:rsid w:val="00194A51"/>
    <w:rsid w:val="001A0B08"/>
    <w:rsid w:val="001A112E"/>
    <w:rsid w:val="001A38F9"/>
    <w:rsid w:val="001A4D91"/>
    <w:rsid w:val="001A4F79"/>
    <w:rsid w:val="001A55F7"/>
    <w:rsid w:val="001B1928"/>
    <w:rsid w:val="001B31A2"/>
    <w:rsid w:val="001C13AB"/>
    <w:rsid w:val="001C2702"/>
    <w:rsid w:val="001C273C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37A6"/>
    <w:rsid w:val="001D4DA9"/>
    <w:rsid w:val="001D71D6"/>
    <w:rsid w:val="001E29EE"/>
    <w:rsid w:val="001E2E27"/>
    <w:rsid w:val="001E45F8"/>
    <w:rsid w:val="001E6DAF"/>
    <w:rsid w:val="001E70D4"/>
    <w:rsid w:val="001F07EB"/>
    <w:rsid w:val="001F2255"/>
    <w:rsid w:val="001F22AC"/>
    <w:rsid w:val="001F256E"/>
    <w:rsid w:val="001F397B"/>
    <w:rsid w:val="001F3A76"/>
    <w:rsid w:val="001F40D6"/>
    <w:rsid w:val="001F7717"/>
    <w:rsid w:val="001F7BFC"/>
    <w:rsid w:val="001F7D49"/>
    <w:rsid w:val="00200E19"/>
    <w:rsid w:val="00200F64"/>
    <w:rsid w:val="00201DBD"/>
    <w:rsid w:val="00201F15"/>
    <w:rsid w:val="002048EE"/>
    <w:rsid w:val="0020557E"/>
    <w:rsid w:val="00205A94"/>
    <w:rsid w:val="00206E03"/>
    <w:rsid w:val="00206F11"/>
    <w:rsid w:val="00212874"/>
    <w:rsid w:val="00214199"/>
    <w:rsid w:val="00214A42"/>
    <w:rsid w:val="00216C9E"/>
    <w:rsid w:val="002170A8"/>
    <w:rsid w:val="00217D67"/>
    <w:rsid w:val="00217DDE"/>
    <w:rsid w:val="002209A3"/>
    <w:rsid w:val="00224B34"/>
    <w:rsid w:val="00224FBD"/>
    <w:rsid w:val="0022526B"/>
    <w:rsid w:val="00225E4E"/>
    <w:rsid w:val="00230793"/>
    <w:rsid w:val="002312B6"/>
    <w:rsid w:val="00235554"/>
    <w:rsid w:val="002355FD"/>
    <w:rsid w:val="00236D89"/>
    <w:rsid w:val="00241B7D"/>
    <w:rsid w:val="00241D40"/>
    <w:rsid w:val="00242355"/>
    <w:rsid w:val="00244B6B"/>
    <w:rsid w:val="0024526D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6799"/>
    <w:rsid w:val="00280EF7"/>
    <w:rsid w:val="0028194A"/>
    <w:rsid w:val="002826C7"/>
    <w:rsid w:val="002863AE"/>
    <w:rsid w:val="002874B7"/>
    <w:rsid w:val="002903F3"/>
    <w:rsid w:val="00292DA1"/>
    <w:rsid w:val="00293690"/>
    <w:rsid w:val="00294612"/>
    <w:rsid w:val="0029535C"/>
    <w:rsid w:val="002A17A6"/>
    <w:rsid w:val="002A1BD0"/>
    <w:rsid w:val="002A1FE9"/>
    <w:rsid w:val="002A20F0"/>
    <w:rsid w:val="002A5765"/>
    <w:rsid w:val="002B0128"/>
    <w:rsid w:val="002B447C"/>
    <w:rsid w:val="002C5142"/>
    <w:rsid w:val="002D42B8"/>
    <w:rsid w:val="002D5495"/>
    <w:rsid w:val="002D591E"/>
    <w:rsid w:val="002D6C49"/>
    <w:rsid w:val="002E066A"/>
    <w:rsid w:val="002E22EC"/>
    <w:rsid w:val="002E28B5"/>
    <w:rsid w:val="002E4402"/>
    <w:rsid w:val="002E5227"/>
    <w:rsid w:val="002E559D"/>
    <w:rsid w:val="002F0668"/>
    <w:rsid w:val="002F06D1"/>
    <w:rsid w:val="002F2D38"/>
    <w:rsid w:val="002F5252"/>
    <w:rsid w:val="002F699C"/>
    <w:rsid w:val="002F7C5D"/>
    <w:rsid w:val="00300147"/>
    <w:rsid w:val="0030155A"/>
    <w:rsid w:val="00304AEF"/>
    <w:rsid w:val="00305BC7"/>
    <w:rsid w:val="00306D0A"/>
    <w:rsid w:val="0031062E"/>
    <w:rsid w:val="00310ED7"/>
    <w:rsid w:val="00311967"/>
    <w:rsid w:val="00311BD1"/>
    <w:rsid w:val="00313D06"/>
    <w:rsid w:val="00314CB3"/>
    <w:rsid w:val="00314F49"/>
    <w:rsid w:val="003154A4"/>
    <w:rsid w:val="00315A06"/>
    <w:rsid w:val="00317E50"/>
    <w:rsid w:val="00320C1F"/>
    <w:rsid w:val="003217BB"/>
    <w:rsid w:val="00321E3C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5BEA"/>
    <w:rsid w:val="003474DF"/>
    <w:rsid w:val="00353CE8"/>
    <w:rsid w:val="00353D26"/>
    <w:rsid w:val="003552AD"/>
    <w:rsid w:val="00356744"/>
    <w:rsid w:val="00357076"/>
    <w:rsid w:val="00357599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5108"/>
    <w:rsid w:val="0037555B"/>
    <w:rsid w:val="00376301"/>
    <w:rsid w:val="00381ECF"/>
    <w:rsid w:val="003846B1"/>
    <w:rsid w:val="00384F40"/>
    <w:rsid w:val="00386304"/>
    <w:rsid w:val="00387D66"/>
    <w:rsid w:val="00390CE0"/>
    <w:rsid w:val="0039302F"/>
    <w:rsid w:val="00393A9E"/>
    <w:rsid w:val="00394091"/>
    <w:rsid w:val="00396DDA"/>
    <w:rsid w:val="003A416F"/>
    <w:rsid w:val="003A4E3C"/>
    <w:rsid w:val="003A5602"/>
    <w:rsid w:val="003A6FCB"/>
    <w:rsid w:val="003B07BD"/>
    <w:rsid w:val="003B09B7"/>
    <w:rsid w:val="003B10AA"/>
    <w:rsid w:val="003B22AD"/>
    <w:rsid w:val="003B2E14"/>
    <w:rsid w:val="003B40C9"/>
    <w:rsid w:val="003B51B2"/>
    <w:rsid w:val="003B5764"/>
    <w:rsid w:val="003B6576"/>
    <w:rsid w:val="003B71F9"/>
    <w:rsid w:val="003C31F6"/>
    <w:rsid w:val="003C4503"/>
    <w:rsid w:val="003C488E"/>
    <w:rsid w:val="003D5AAE"/>
    <w:rsid w:val="003E0424"/>
    <w:rsid w:val="003E06E4"/>
    <w:rsid w:val="003E2F7D"/>
    <w:rsid w:val="003E4579"/>
    <w:rsid w:val="003E49CA"/>
    <w:rsid w:val="003E667E"/>
    <w:rsid w:val="003E77B8"/>
    <w:rsid w:val="003E7907"/>
    <w:rsid w:val="003F0628"/>
    <w:rsid w:val="003F2A06"/>
    <w:rsid w:val="003F5300"/>
    <w:rsid w:val="003F653D"/>
    <w:rsid w:val="003F67E7"/>
    <w:rsid w:val="003F6C6C"/>
    <w:rsid w:val="003F70BA"/>
    <w:rsid w:val="003F725B"/>
    <w:rsid w:val="004014E6"/>
    <w:rsid w:val="00402A9D"/>
    <w:rsid w:val="004047C7"/>
    <w:rsid w:val="004102FE"/>
    <w:rsid w:val="00410A00"/>
    <w:rsid w:val="004123BE"/>
    <w:rsid w:val="004133A0"/>
    <w:rsid w:val="004140D1"/>
    <w:rsid w:val="00415A43"/>
    <w:rsid w:val="00416147"/>
    <w:rsid w:val="00417276"/>
    <w:rsid w:val="00421EA8"/>
    <w:rsid w:val="00424B41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3755"/>
    <w:rsid w:val="0043411D"/>
    <w:rsid w:val="0043694A"/>
    <w:rsid w:val="00437D9D"/>
    <w:rsid w:val="0044114E"/>
    <w:rsid w:val="00442FB0"/>
    <w:rsid w:val="00443694"/>
    <w:rsid w:val="004440B1"/>
    <w:rsid w:val="00444EA8"/>
    <w:rsid w:val="00445E65"/>
    <w:rsid w:val="0044706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0C79"/>
    <w:rsid w:val="00471E62"/>
    <w:rsid w:val="00471F51"/>
    <w:rsid w:val="004723E5"/>
    <w:rsid w:val="00474D76"/>
    <w:rsid w:val="00475568"/>
    <w:rsid w:val="0047632E"/>
    <w:rsid w:val="00476985"/>
    <w:rsid w:val="00476B67"/>
    <w:rsid w:val="0048073D"/>
    <w:rsid w:val="00484707"/>
    <w:rsid w:val="004876AC"/>
    <w:rsid w:val="00492D38"/>
    <w:rsid w:val="00494650"/>
    <w:rsid w:val="004948E9"/>
    <w:rsid w:val="00494DAC"/>
    <w:rsid w:val="00495B22"/>
    <w:rsid w:val="004A2492"/>
    <w:rsid w:val="004A27F5"/>
    <w:rsid w:val="004A2D95"/>
    <w:rsid w:val="004A6171"/>
    <w:rsid w:val="004A62DC"/>
    <w:rsid w:val="004B0528"/>
    <w:rsid w:val="004B1EE6"/>
    <w:rsid w:val="004B6E66"/>
    <w:rsid w:val="004C0C17"/>
    <w:rsid w:val="004C2C8A"/>
    <w:rsid w:val="004C512A"/>
    <w:rsid w:val="004C629D"/>
    <w:rsid w:val="004C66BB"/>
    <w:rsid w:val="004D1C88"/>
    <w:rsid w:val="004D21FA"/>
    <w:rsid w:val="004D2522"/>
    <w:rsid w:val="004D32B7"/>
    <w:rsid w:val="004D7F46"/>
    <w:rsid w:val="004E295E"/>
    <w:rsid w:val="004E489A"/>
    <w:rsid w:val="004E5617"/>
    <w:rsid w:val="004E73FD"/>
    <w:rsid w:val="004F0998"/>
    <w:rsid w:val="004F2624"/>
    <w:rsid w:val="004F2B88"/>
    <w:rsid w:val="004F36D4"/>
    <w:rsid w:val="004F39F6"/>
    <w:rsid w:val="004F479F"/>
    <w:rsid w:val="004F731B"/>
    <w:rsid w:val="005004B1"/>
    <w:rsid w:val="005004E9"/>
    <w:rsid w:val="00500EB3"/>
    <w:rsid w:val="00500EF4"/>
    <w:rsid w:val="005010AD"/>
    <w:rsid w:val="0050312A"/>
    <w:rsid w:val="00506046"/>
    <w:rsid w:val="0050739B"/>
    <w:rsid w:val="00507ADE"/>
    <w:rsid w:val="00510B6B"/>
    <w:rsid w:val="0051284B"/>
    <w:rsid w:val="00513A65"/>
    <w:rsid w:val="005155AA"/>
    <w:rsid w:val="00515DB5"/>
    <w:rsid w:val="005173F5"/>
    <w:rsid w:val="005221F8"/>
    <w:rsid w:val="00522FC7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40BCC"/>
    <w:rsid w:val="00540CC5"/>
    <w:rsid w:val="00543181"/>
    <w:rsid w:val="005445FF"/>
    <w:rsid w:val="00544F53"/>
    <w:rsid w:val="005454F1"/>
    <w:rsid w:val="00545866"/>
    <w:rsid w:val="005475B8"/>
    <w:rsid w:val="005524C0"/>
    <w:rsid w:val="00553638"/>
    <w:rsid w:val="00557D81"/>
    <w:rsid w:val="00560286"/>
    <w:rsid w:val="005613A2"/>
    <w:rsid w:val="00562706"/>
    <w:rsid w:val="00565AAB"/>
    <w:rsid w:val="005725A7"/>
    <w:rsid w:val="00572C60"/>
    <w:rsid w:val="0057379B"/>
    <w:rsid w:val="005744A2"/>
    <w:rsid w:val="005769ED"/>
    <w:rsid w:val="005774A8"/>
    <w:rsid w:val="0058060A"/>
    <w:rsid w:val="005838A1"/>
    <w:rsid w:val="00584641"/>
    <w:rsid w:val="00584C19"/>
    <w:rsid w:val="005873F6"/>
    <w:rsid w:val="00590384"/>
    <w:rsid w:val="00591DFE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1E50"/>
    <w:rsid w:val="005B37ED"/>
    <w:rsid w:val="005B43A4"/>
    <w:rsid w:val="005B557A"/>
    <w:rsid w:val="005B7F4B"/>
    <w:rsid w:val="005C2E14"/>
    <w:rsid w:val="005C3F4C"/>
    <w:rsid w:val="005C5661"/>
    <w:rsid w:val="005C68EB"/>
    <w:rsid w:val="005C6B6D"/>
    <w:rsid w:val="005D1A4A"/>
    <w:rsid w:val="005D5990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69CE"/>
    <w:rsid w:val="00607B5E"/>
    <w:rsid w:val="00610ECB"/>
    <w:rsid w:val="00612DF6"/>
    <w:rsid w:val="00614E93"/>
    <w:rsid w:val="0061515D"/>
    <w:rsid w:val="0061552C"/>
    <w:rsid w:val="00620756"/>
    <w:rsid w:val="0062777B"/>
    <w:rsid w:val="00631CD6"/>
    <w:rsid w:val="00631D74"/>
    <w:rsid w:val="006322D8"/>
    <w:rsid w:val="00633D6F"/>
    <w:rsid w:val="006361DB"/>
    <w:rsid w:val="00641436"/>
    <w:rsid w:val="00643AF9"/>
    <w:rsid w:val="00644A61"/>
    <w:rsid w:val="00651167"/>
    <w:rsid w:val="00651D03"/>
    <w:rsid w:val="00653269"/>
    <w:rsid w:val="00654326"/>
    <w:rsid w:val="0065494E"/>
    <w:rsid w:val="00654E61"/>
    <w:rsid w:val="00656A63"/>
    <w:rsid w:val="006611F2"/>
    <w:rsid w:val="00662E32"/>
    <w:rsid w:val="006642F6"/>
    <w:rsid w:val="006652E2"/>
    <w:rsid w:val="00665B00"/>
    <w:rsid w:val="006670F5"/>
    <w:rsid w:val="00671EC8"/>
    <w:rsid w:val="00673265"/>
    <w:rsid w:val="006759B5"/>
    <w:rsid w:val="00675FFE"/>
    <w:rsid w:val="00677B76"/>
    <w:rsid w:val="00680242"/>
    <w:rsid w:val="00682D29"/>
    <w:rsid w:val="0068356D"/>
    <w:rsid w:val="00683E79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6AF0"/>
    <w:rsid w:val="006A71E5"/>
    <w:rsid w:val="006B35CC"/>
    <w:rsid w:val="006B5E18"/>
    <w:rsid w:val="006B7091"/>
    <w:rsid w:val="006B7502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51BD"/>
    <w:rsid w:val="006D6CAE"/>
    <w:rsid w:val="006D7D89"/>
    <w:rsid w:val="006D7FF1"/>
    <w:rsid w:val="006E2E0C"/>
    <w:rsid w:val="006E455A"/>
    <w:rsid w:val="006E543B"/>
    <w:rsid w:val="006F06DD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51DE"/>
    <w:rsid w:val="00711160"/>
    <w:rsid w:val="00711F88"/>
    <w:rsid w:val="007121EB"/>
    <w:rsid w:val="007142E6"/>
    <w:rsid w:val="00714640"/>
    <w:rsid w:val="00715294"/>
    <w:rsid w:val="007159A6"/>
    <w:rsid w:val="00716A5D"/>
    <w:rsid w:val="00722913"/>
    <w:rsid w:val="0072464B"/>
    <w:rsid w:val="007260DD"/>
    <w:rsid w:val="00726233"/>
    <w:rsid w:val="007262FB"/>
    <w:rsid w:val="00730D3C"/>
    <w:rsid w:val="00732846"/>
    <w:rsid w:val="007332A3"/>
    <w:rsid w:val="00734EC9"/>
    <w:rsid w:val="00736726"/>
    <w:rsid w:val="00737ED4"/>
    <w:rsid w:val="00740A4E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63DE"/>
    <w:rsid w:val="00767277"/>
    <w:rsid w:val="007705EA"/>
    <w:rsid w:val="00771493"/>
    <w:rsid w:val="007732CA"/>
    <w:rsid w:val="007732CE"/>
    <w:rsid w:val="00775296"/>
    <w:rsid w:val="00775A72"/>
    <w:rsid w:val="007767BA"/>
    <w:rsid w:val="00776A04"/>
    <w:rsid w:val="00781699"/>
    <w:rsid w:val="00782638"/>
    <w:rsid w:val="00782658"/>
    <w:rsid w:val="0078375B"/>
    <w:rsid w:val="007837F6"/>
    <w:rsid w:val="00785584"/>
    <w:rsid w:val="0078558B"/>
    <w:rsid w:val="0078593E"/>
    <w:rsid w:val="00785B37"/>
    <w:rsid w:val="00786DE7"/>
    <w:rsid w:val="007910F9"/>
    <w:rsid w:val="007941D0"/>
    <w:rsid w:val="00794873"/>
    <w:rsid w:val="00795110"/>
    <w:rsid w:val="007959AC"/>
    <w:rsid w:val="007A1D9D"/>
    <w:rsid w:val="007A2F53"/>
    <w:rsid w:val="007A66FB"/>
    <w:rsid w:val="007A70EC"/>
    <w:rsid w:val="007A713A"/>
    <w:rsid w:val="007A740D"/>
    <w:rsid w:val="007B0E3C"/>
    <w:rsid w:val="007B0F5C"/>
    <w:rsid w:val="007B5713"/>
    <w:rsid w:val="007C023A"/>
    <w:rsid w:val="007C0C6F"/>
    <w:rsid w:val="007C451E"/>
    <w:rsid w:val="007C7FF5"/>
    <w:rsid w:val="007D049D"/>
    <w:rsid w:val="007D2ADA"/>
    <w:rsid w:val="007D39CE"/>
    <w:rsid w:val="007D6761"/>
    <w:rsid w:val="007E02D0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21D"/>
    <w:rsid w:val="007F4A88"/>
    <w:rsid w:val="007F50A4"/>
    <w:rsid w:val="007F6EB0"/>
    <w:rsid w:val="007F78EA"/>
    <w:rsid w:val="008047C8"/>
    <w:rsid w:val="00804B52"/>
    <w:rsid w:val="00804DD1"/>
    <w:rsid w:val="00805778"/>
    <w:rsid w:val="008067D3"/>
    <w:rsid w:val="00807122"/>
    <w:rsid w:val="008101FD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795C"/>
    <w:rsid w:val="00860700"/>
    <w:rsid w:val="008617C4"/>
    <w:rsid w:val="00863181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6847"/>
    <w:rsid w:val="008A0C1C"/>
    <w:rsid w:val="008A0FB4"/>
    <w:rsid w:val="008A1571"/>
    <w:rsid w:val="008A29E8"/>
    <w:rsid w:val="008A58E9"/>
    <w:rsid w:val="008B2226"/>
    <w:rsid w:val="008B32C9"/>
    <w:rsid w:val="008B3B46"/>
    <w:rsid w:val="008B591C"/>
    <w:rsid w:val="008C19CE"/>
    <w:rsid w:val="008C4018"/>
    <w:rsid w:val="008C5034"/>
    <w:rsid w:val="008C59F4"/>
    <w:rsid w:val="008C63BB"/>
    <w:rsid w:val="008C68B0"/>
    <w:rsid w:val="008C6D2E"/>
    <w:rsid w:val="008D3305"/>
    <w:rsid w:val="008D3C3A"/>
    <w:rsid w:val="008D54F6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17E71"/>
    <w:rsid w:val="00921E5F"/>
    <w:rsid w:val="00927A54"/>
    <w:rsid w:val="009333E5"/>
    <w:rsid w:val="00937FFB"/>
    <w:rsid w:val="00944C34"/>
    <w:rsid w:val="0094645D"/>
    <w:rsid w:val="0095058D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6290"/>
    <w:rsid w:val="0096667F"/>
    <w:rsid w:val="009703BB"/>
    <w:rsid w:val="00972047"/>
    <w:rsid w:val="00972A3C"/>
    <w:rsid w:val="00972EAF"/>
    <w:rsid w:val="00973D15"/>
    <w:rsid w:val="00974A86"/>
    <w:rsid w:val="00975613"/>
    <w:rsid w:val="00981401"/>
    <w:rsid w:val="009846E2"/>
    <w:rsid w:val="00985984"/>
    <w:rsid w:val="00987DD7"/>
    <w:rsid w:val="00991E4A"/>
    <w:rsid w:val="00992378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B1ACF"/>
    <w:rsid w:val="009B5309"/>
    <w:rsid w:val="009B7A08"/>
    <w:rsid w:val="009C1604"/>
    <w:rsid w:val="009C3AFB"/>
    <w:rsid w:val="009C7706"/>
    <w:rsid w:val="009C7A74"/>
    <w:rsid w:val="009D0144"/>
    <w:rsid w:val="009D070C"/>
    <w:rsid w:val="009D0BFE"/>
    <w:rsid w:val="009D282C"/>
    <w:rsid w:val="009D2F37"/>
    <w:rsid w:val="009D3D43"/>
    <w:rsid w:val="009D4E91"/>
    <w:rsid w:val="009D57DB"/>
    <w:rsid w:val="009D6445"/>
    <w:rsid w:val="009D6FCC"/>
    <w:rsid w:val="009D7690"/>
    <w:rsid w:val="009D7E4F"/>
    <w:rsid w:val="009E157D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66C1"/>
    <w:rsid w:val="00A179B0"/>
    <w:rsid w:val="00A17E6B"/>
    <w:rsid w:val="00A20405"/>
    <w:rsid w:val="00A20953"/>
    <w:rsid w:val="00A217A2"/>
    <w:rsid w:val="00A240EA"/>
    <w:rsid w:val="00A2480F"/>
    <w:rsid w:val="00A25459"/>
    <w:rsid w:val="00A25CC8"/>
    <w:rsid w:val="00A3142C"/>
    <w:rsid w:val="00A32969"/>
    <w:rsid w:val="00A35169"/>
    <w:rsid w:val="00A3593D"/>
    <w:rsid w:val="00A3676D"/>
    <w:rsid w:val="00A371AB"/>
    <w:rsid w:val="00A37669"/>
    <w:rsid w:val="00A40153"/>
    <w:rsid w:val="00A43C11"/>
    <w:rsid w:val="00A45DCC"/>
    <w:rsid w:val="00A46899"/>
    <w:rsid w:val="00A5223F"/>
    <w:rsid w:val="00A52E00"/>
    <w:rsid w:val="00A65128"/>
    <w:rsid w:val="00A670FA"/>
    <w:rsid w:val="00A67D59"/>
    <w:rsid w:val="00A70075"/>
    <w:rsid w:val="00A700BC"/>
    <w:rsid w:val="00A707CD"/>
    <w:rsid w:val="00A70EE2"/>
    <w:rsid w:val="00A73257"/>
    <w:rsid w:val="00A74A01"/>
    <w:rsid w:val="00A75E13"/>
    <w:rsid w:val="00A76649"/>
    <w:rsid w:val="00A77051"/>
    <w:rsid w:val="00A824B9"/>
    <w:rsid w:val="00A82C2A"/>
    <w:rsid w:val="00A83592"/>
    <w:rsid w:val="00A84924"/>
    <w:rsid w:val="00A8587F"/>
    <w:rsid w:val="00A90534"/>
    <w:rsid w:val="00A90E62"/>
    <w:rsid w:val="00A93CA9"/>
    <w:rsid w:val="00A94AEA"/>
    <w:rsid w:val="00A95B0A"/>
    <w:rsid w:val="00A95EAA"/>
    <w:rsid w:val="00A96468"/>
    <w:rsid w:val="00A966B8"/>
    <w:rsid w:val="00A96E02"/>
    <w:rsid w:val="00A97063"/>
    <w:rsid w:val="00A9752D"/>
    <w:rsid w:val="00AA0E69"/>
    <w:rsid w:val="00AA1929"/>
    <w:rsid w:val="00AA1F08"/>
    <w:rsid w:val="00AA35B7"/>
    <w:rsid w:val="00AA5530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6BC5"/>
    <w:rsid w:val="00AC6BFF"/>
    <w:rsid w:val="00AC70AF"/>
    <w:rsid w:val="00AD1EC0"/>
    <w:rsid w:val="00AD1FD7"/>
    <w:rsid w:val="00AD3640"/>
    <w:rsid w:val="00AD4143"/>
    <w:rsid w:val="00AD5305"/>
    <w:rsid w:val="00AD6455"/>
    <w:rsid w:val="00AD740C"/>
    <w:rsid w:val="00AE031C"/>
    <w:rsid w:val="00AE24F3"/>
    <w:rsid w:val="00AE30A8"/>
    <w:rsid w:val="00AE457B"/>
    <w:rsid w:val="00AE56DD"/>
    <w:rsid w:val="00AE6020"/>
    <w:rsid w:val="00AE637C"/>
    <w:rsid w:val="00AF4E30"/>
    <w:rsid w:val="00AF5A1C"/>
    <w:rsid w:val="00AF6608"/>
    <w:rsid w:val="00AF78B3"/>
    <w:rsid w:val="00B01B95"/>
    <w:rsid w:val="00B0297B"/>
    <w:rsid w:val="00B0329E"/>
    <w:rsid w:val="00B03A5A"/>
    <w:rsid w:val="00B03B2E"/>
    <w:rsid w:val="00B0737B"/>
    <w:rsid w:val="00B07BA5"/>
    <w:rsid w:val="00B11EF6"/>
    <w:rsid w:val="00B124AF"/>
    <w:rsid w:val="00B13207"/>
    <w:rsid w:val="00B15516"/>
    <w:rsid w:val="00B15E48"/>
    <w:rsid w:val="00B237A1"/>
    <w:rsid w:val="00B2606E"/>
    <w:rsid w:val="00B26F9F"/>
    <w:rsid w:val="00B32381"/>
    <w:rsid w:val="00B346FD"/>
    <w:rsid w:val="00B3471B"/>
    <w:rsid w:val="00B355FA"/>
    <w:rsid w:val="00B3757A"/>
    <w:rsid w:val="00B426D0"/>
    <w:rsid w:val="00B43A47"/>
    <w:rsid w:val="00B46E4D"/>
    <w:rsid w:val="00B52806"/>
    <w:rsid w:val="00B53616"/>
    <w:rsid w:val="00B53FB7"/>
    <w:rsid w:val="00B542BB"/>
    <w:rsid w:val="00B56D8F"/>
    <w:rsid w:val="00B61E9E"/>
    <w:rsid w:val="00B63E77"/>
    <w:rsid w:val="00B646BD"/>
    <w:rsid w:val="00B652B6"/>
    <w:rsid w:val="00B6680F"/>
    <w:rsid w:val="00B67867"/>
    <w:rsid w:val="00B70CC9"/>
    <w:rsid w:val="00B7510E"/>
    <w:rsid w:val="00B80E07"/>
    <w:rsid w:val="00B81609"/>
    <w:rsid w:val="00B83D13"/>
    <w:rsid w:val="00B84874"/>
    <w:rsid w:val="00B84B57"/>
    <w:rsid w:val="00B84FA1"/>
    <w:rsid w:val="00B8553E"/>
    <w:rsid w:val="00B877E6"/>
    <w:rsid w:val="00B87801"/>
    <w:rsid w:val="00B87F47"/>
    <w:rsid w:val="00B91BF1"/>
    <w:rsid w:val="00B9273E"/>
    <w:rsid w:val="00B970AD"/>
    <w:rsid w:val="00BA19D4"/>
    <w:rsid w:val="00BA55EE"/>
    <w:rsid w:val="00BA5B2E"/>
    <w:rsid w:val="00BA66D7"/>
    <w:rsid w:val="00BA6FBD"/>
    <w:rsid w:val="00BB029E"/>
    <w:rsid w:val="00BB1ACD"/>
    <w:rsid w:val="00BB268C"/>
    <w:rsid w:val="00BB5B1E"/>
    <w:rsid w:val="00BB71B8"/>
    <w:rsid w:val="00BC2641"/>
    <w:rsid w:val="00BC27D4"/>
    <w:rsid w:val="00BC2882"/>
    <w:rsid w:val="00BC4CB2"/>
    <w:rsid w:val="00BC5562"/>
    <w:rsid w:val="00BC5828"/>
    <w:rsid w:val="00BC6594"/>
    <w:rsid w:val="00BD0D82"/>
    <w:rsid w:val="00BD0FEE"/>
    <w:rsid w:val="00BD1ABC"/>
    <w:rsid w:val="00BD3CB9"/>
    <w:rsid w:val="00BD4B23"/>
    <w:rsid w:val="00BD567B"/>
    <w:rsid w:val="00BD7445"/>
    <w:rsid w:val="00BE1DBD"/>
    <w:rsid w:val="00BE2444"/>
    <w:rsid w:val="00BE7486"/>
    <w:rsid w:val="00BE77B2"/>
    <w:rsid w:val="00BF2A24"/>
    <w:rsid w:val="00BF2A54"/>
    <w:rsid w:val="00BF2C0F"/>
    <w:rsid w:val="00BF2C94"/>
    <w:rsid w:val="00BF3921"/>
    <w:rsid w:val="00BF5EC6"/>
    <w:rsid w:val="00BF6B4A"/>
    <w:rsid w:val="00BF757A"/>
    <w:rsid w:val="00BF763B"/>
    <w:rsid w:val="00BF7773"/>
    <w:rsid w:val="00BF7964"/>
    <w:rsid w:val="00C0186B"/>
    <w:rsid w:val="00C02371"/>
    <w:rsid w:val="00C027FF"/>
    <w:rsid w:val="00C02862"/>
    <w:rsid w:val="00C04D29"/>
    <w:rsid w:val="00C04D6E"/>
    <w:rsid w:val="00C04FFA"/>
    <w:rsid w:val="00C057D7"/>
    <w:rsid w:val="00C0696A"/>
    <w:rsid w:val="00C102A9"/>
    <w:rsid w:val="00C11498"/>
    <w:rsid w:val="00C1170E"/>
    <w:rsid w:val="00C13281"/>
    <w:rsid w:val="00C13459"/>
    <w:rsid w:val="00C135CF"/>
    <w:rsid w:val="00C14905"/>
    <w:rsid w:val="00C1541D"/>
    <w:rsid w:val="00C1617A"/>
    <w:rsid w:val="00C169CF"/>
    <w:rsid w:val="00C17DC6"/>
    <w:rsid w:val="00C20AB2"/>
    <w:rsid w:val="00C20EBC"/>
    <w:rsid w:val="00C225CE"/>
    <w:rsid w:val="00C2261E"/>
    <w:rsid w:val="00C23366"/>
    <w:rsid w:val="00C23751"/>
    <w:rsid w:val="00C2516C"/>
    <w:rsid w:val="00C2517F"/>
    <w:rsid w:val="00C254EE"/>
    <w:rsid w:val="00C32080"/>
    <w:rsid w:val="00C327C2"/>
    <w:rsid w:val="00C3419F"/>
    <w:rsid w:val="00C36052"/>
    <w:rsid w:val="00C36B9D"/>
    <w:rsid w:val="00C3704D"/>
    <w:rsid w:val="00C400D6"/>
    <w:rsid w:val="00C41924"/>
    <w:rsid w:val="00C43A87"/>
    <w:rsid w:val="00C43B86"/>
    <w:rsid w:val="00C43CF9"/>
    <w:rsid w:val="00C44D15"/>
    <w:rsid w:val="00C44D44"/>
    <w:rsid w:val="00C462DF"/>
    <w:rsid w:val="00C47439"/>
    <w:rsid w:val="00C50DB3"/>
    <w:rsid w:val="00C53F72"/>
    <w:rsid w:val="00C56083"/>
    <w:rsid w:val="00C56B13"/>
    <w:rsid w:val="00C56BD7"/>
    <w:rsid w:val="00C56DD6"/>
    <w:rsid w:val="00C61B95"/>
    <w:rsid w:val="00C61FAD"/>
    <w:rsid w:val="00C62B0C"/>
    <w:rsid w:val="00C6613C"/>
    <w:rsid w:val="00C66D2A"/>
    <w:rsid w:val="00C67484"/>
    <w:rsid w:val="00C675B8"/>
    <w:rsid w:val="00C67E78"/>
    <w:rsid w:val="00C67F94"/>
    <w:rsid w:val="00C70179"/>
    <w:rsid w:val="00C707E0"/>
    <w:rsid w:val="00C71E04"/>
    <w:rsid w:val="00C7287F"/>
    <w:rsid w:val="00C729F3"/>
    <w:rsid w:val="00C73890"/>
    <w:rsid w:val="00C77036"/>
    <w:rsid w:val="00C8256B"/>
    <w:rsid w:val="00C83D04"/>
    <w:rsid w:val="00C83F98"/>
    <w:rsid w:val="00C842B8"/>
    <w:rsid w:val="00C87D16"/>
    <w:rsid w:val="00C91F52"/>
    <w:rsid w:val="00C9308B"/>
    <w:rsid w:val="00C94AA6"/>
    <w:rsid w:val="00C94F32"/>
    <w:rsid w:val="00C9591D"/>
    <w:rsid w:val="00C97FCF"/>
    <w:rsid w:val="00CA0AEE"/>
    <w:rsid w:val="00CA0DF4"/>
    <w:rsid w:val="00CA1397"/>
    <w:rsid w:val="00CA145E"/>
    <w:rsid w:val="00CA171C"/>
    <w:rsid w:val="00CA1B2C"/>
    <w:rsid w:val="00CA33F5"/>
    <w:rsid w:val="00CA4029"/>
    <w:rsid w:val="00CA659E"/>
    <w:rsid w:val="00CA71EE"/>
    <w:rsid w:val="00CA781A"/>
    <w:rsid w:val="00CB00FD"/>
    <w:rsid w:val="00CB46DF"/>
    <w:rsid w:val="00CB6175"/>
    <w:rsid w:val="00CB70EE"/>
    <w:rsid w:val="00CB78F0"/>
    <w:rsid w:val="00CC11D9"/>
    <w:rsid w:val="00CC190C"/>
    <w:rsid w:val="00CC227E"/>
    <w:rsid w:val="00CC355D"/>
    <w:rsid w:val="00CC405C"/>
    <w:rsid w:val="00CC7282"/>
    <w:rsid w:val="00CC7A51"/>
    <w:rsid w:val="00CD0CF4"/>
    <w:rsid w:val="00CD1347"/>
    <w:rsid w:val="00CD357E"/>
    <w:rsid w:val="00CD35F9"/>
    <w:rsid w:val="00CD3B50"/>
    <w:rsid w:val="00CD47A9"/>
    <w:rsid w:val="00CD4F02"/>
    <w:rsid w:val="00CD61FE"/>
    <w:rsid w:val="00CE0C4C"/>
    <w:rsid w:val="00CE2A87"/>
    <w:rsid w:val="00CE2FE0"/>
    <w:rsid w:val="00CE3E3D"/>
    <w:rsid w:val="00CE4AD9"/>
    <w:rsid w:val="00CE5844"/>
    <w:rsid w:val="00CE6DBA"/>
    <w:rsid w:val="00CF090C"/>
    <w:rsid w:val="00CF0ACB"/>
    <w:rsid w:val="00CF108A"/>
    <w:rsid w:val="00CF4054"/>
    <w:rsid w:val="00CF42C9"/>
    <w:rsid w:val="00CF457B"/>
    <w:rsid w:val="00CF4D23"/>
    <w:rsid w:val="00CF4F13"/>
    <w:rsid w:val="00CF59FE"/>
    <w:rsid w:val="00CF6389"/>
    <w:rsid w:val="00CF66FF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EE"/>
    <w:rsid w:val="00D15B08"/>
    <w:rsid w:val="00D20DC4"/>
    <w:rsid w:val="00D21DB7"/>
    <w:rsid w:val="00D230FB"/>
    <w:rsid w:val="00D24079"/>
    <w:rsid w:val="00D27499"/>
    <w:rsid w:val="00D277C0"/>
    <w:rsid w:val="00D27E95"/>
    <w:rsid w:val="00D31A84"/>
    <w:rsid w:val="00D31D53"/>
    <w:rsid w:val="00D33E09"/>
    <w:rsid w:val="00D37B5A"/>
    <w:rsid w:val="00D400CC"/>
    <w:rsid w:val="00D42C00"/>
    <w:rsid w:val="00D4337F"/>
    <w:rsid w:val="00D43CC5"/>
    <w:rsid w:val="00D44B43"/>
    <w:rsid w:val="00D46960"/>
    <w:rsid w:val="00D474DD"/>
    <w:rsid w:val="00D52942"/>
    <w:rsid w:val="00D5306A"/>
    <w:rsid w:val="00D55ED6"/>
    <w:rsid w:val="00D55FD4"/>
    <w:rsid w:val="00D571A2"/>
    <w:rsid w:val="00D635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77A4A"/>
    <w:rsid w:val="00D80F1C"/>
    <w:rsid w:val="00D8162F"/>
    <w:rsid w:val="00D81996"/>
    <w:rsid w:val="00D8216D"/>
    <w:rsid w:val="00D833B2"/>
    <w:rsid w:val="00D84F5D"/>
    <w:rsid w:val="00D86E1F"/>
    <w:rsid w:val="00D903E7"/>
    <w:rsid w:val="00D90AA3"/>
    <w:rsid w:val="00D91A53"/>
    <w:rsid w:val="00D95ADB"/>
    <w:rsid w:val="00D95E7C"/>
    <w:rsid w:val="00DA07F9"/>
    <w:rsid w:val="00DA28B2"/>
    <w:rsid w:val="00DA52B8"/>
    <w:rsid w:val="00DA6577"/>
    <w:rsid w:val="00DA6BB2"/>
    <w:rsid w:val="00DB1992"/>
    <w:rsid w:val="00DB2008"/>
    <w:rsid w:val="00DB37B4"/>
    <w:rsid w:val="00DB7B31"/>
    <w:rsid w:val="00DC22C5"/>
    <w:rsid w:val="00DC247F"/>
    <w:rsid w:val="00DC346E"/>
    <w:rsid w:val="00DC4030"/>
    <w:rsid w:val="00DC53D0"/>
    <w:rsid w:val="00DC5F86"/>
    <w:rsid w:val="00DD0702"/>
    <w:rsid w:val="00DD0F06"/>
    <w:rsid w:val="00DD3215"/>
    <w:rsid w:val="00DD3527"/>
    <w:rsid w:val="00DD4693"/>
    <w:rsid w:val="00DD5191"/>
    <w:rsid w:val="00DD6DDE"/>
    <w:rsid w:val="00DD7309"/>
    <w:rsid w:val="00DE1745"/>
    <w:rsid w:val="00DE5957"/>
    <w:rsid w:val="00DE638C"/>
    <w:rsid w:val="00DE715B"/>
    <w:rsid w:val="00DF0CD2"/>
    <w:rsid w:val="00DF25C6"/>
    <w:rsid w:val="00DF31AE"/>
    <w:rsid w:val="00DF3655"/>
    <w:rsid w:val="00DF5F86"/>
    <w:rsid w:val="00E02682"/>
    <w:rsid w:val="00E0439F"/>
    <w:rsid w:val="00E05345"/>
    <w:rsid w:val="00E0691F"/>
    <w:rsid w:val="00E0710D"/>
    <w:rsid w:val="00E1196E"/>
    <w:rsid w:val="00E120D2"/>
    <w:rsid w:val="00E144C3"/>
    <w:rsid w:val="00E154D7"/>
    <w:rsid w:val="00E16007"/>
    <w:rsid w:val="00E16073"/>
    <w:rsid w:val="00E16C5E"/>
    <w:rsid w:val="00E210E5"/>
    <w:rsid w:val="00E22B5B"/>
    <w:rsid w:val="00E2609F"/>
    <w:rsid w:val="00E30E0B"/>
    <w:rsid w:val="00E31053"/>
    <w:rsid w:val="00E356BF"/>
    <w:rsid w:val="00E361C1"/>
    <w:rsid w:val="00E3721F"/>
    <w:rsid w:val="00E4081B"/>
    <w:rsid w:val="00E41826"/>
    <w:rsid w:val="00E42F73"/>
    <w:rsid w:val="00E4455D"/>
    <w:rsid w:val="00E449F8"/>
    <w:rsid w:val="00E451E9"/>
    <w:rsid w:val="00E452DB"/>
    <w:rsid w:val="00E45DA5"/>
    <w:rsid w:val="00E54688"/>
    <w:rsid w:val="00E64CDB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5B6"/>
    <w:rsid w:val="00E81997"/>
    <w:rsid w:val="00E81E8E"/>
    <w:rsid w:val="00E8424E"/>
    <w:rsid w:val="00E846A5"/>
    <w:rsid w:val="00E84D42"/>
    <w:rsid w:val="00E86C32"/>
    <w:rsid w:val="00E873CB"/>
    <w:rsid w:val="00E877D1"/>
    <w:rsid w:val="00E92219"/>
    <w:rsid w:val="00E92BA8"/>
    <w:rsid w:val="00E932B7"/>
    <w:rsid w:val="00E943AC"/>
    <w:rsid w:val="00E963D0"/>
    <w:rsid w:val="00E97C94"/>
    <w:rsid w:val="00EA1D0C"/>
    <w:rsid w:val="00EA2403"/>
    <w:rsid w:val="00EA3456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485D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D24"/>
    <w:rsid w:val="00EE2E25"/>
    <w:rsid w:val="00EE3B11"/>
    <w:rsid w:val="00EF223A"/>
    <w:rsid w:val="00EF3946"/>
    <w:rsid w:val="00EF4CFA"/>
    <w:rsid w:val="00EF6620"/>
    <w:rsid w:val="00F0001C"/>
    <w:rsid w:val="00F0195E"/>
    <w:rsid w:val="00F064B4"/>
    <w:rsid w:val="00F06B6B"/>
    <w:rsid w:val="00F12B1F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F64"/>
    <w:rsid w:val="00F23F20"/>
    <w:rsid w:val="00F2547F"/>
    <w:rsid w:val="00F277BE"/>
    <w:rsid w:val="00F278FC"/>
    <w:rsid w:val="00F30E4D"/>
    <w:rsid w:val="00F31AC4"/>
    <w:rsid w:val="00F32849"/>
    <w:rsid w:val="00F337B3"/>
    <w:rsid w:val="00F35EA0"/>
    <w:rsid w:val="00F400FA"/>
    <w:rsid w:val="00F413DD"/>
    <w:rsid w:val="00F43FB5"/>
    <w:rsid w:val="00F4547B"/>
    <w:rsid w:val="00F47859"/>
    <w:rsid w:val="00F51545"/>
    <w:rsid w:val="00F522D2"/>
    <w:rsid w:val="00F5486A"/>
    <w:rsid w:val="00F54E40"/>
    <w:rsid w:val="00F56EB9"/>
    <w:rsid w:val="00F60497"/>
    <w:rsid w:val="00F60B82"/>
    <w:rsid w:val="00F60D96"/>
    <w:rsid w:val="00F62A4E"/>
    <w:rsid w:val="00F652CD"/>
    <w:rsid w:val="00F669BF"/>
    <w:rsid w:val="00F7153F"/>
    <w:rsid w:val="00F71641"/>
    <w:rsid w:val="00F71803"/>
    <w:rsid w:val="00F719A4"/>
    <w:rsid w:val="00F728FB"/>
    <w:rsid w:val="00F72B93"/>
    <w:rsid w:val="00F73240"/>
    <w:rsid w:val="00F7333C"/>
    <w:rsid w:val="00F733B0"/>
    <w:rsid w:val="00F73780"/>
    <w:rsid w:val="00F74E2F"/>
    <w:rsid w:val="00F74FD4"/>
    <w:rsid w:val="00F76424"/>
    <w:rsid w:val="00F772D5"/>
    <w:rsid w:val="00F77622"/>
    <w:rsid w:val="00F811E7"/>
    <w:rsid w:val="00F830B1"/>
    <w:rsid w:val="00F84B6D"/>
    <w:rsid w:val="00F86A5E"/>
    <w:rsid w:val="00F86DDE"/>
    <w:rsid w:val="00F875B7"/>
    <w:rsid w:val="00F930FF"/>
    <w:rsid w:val="00F956D6"/>
    <w:rsid w:val="00F95D71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74A2"/>
    <w:rsid w:val="00FC32AF"/>
    <w:rsid w:val="00FC3B1E"/>
    <w:rsid w:val="00FC661E"/>
    <w:rsid w:val="00FC7A92"/>
    <w:rsid w:val="00FD21F5"/>
    <w:rsid w:val="00FD2BB0"/>
    <w:rsid w:val="00FD38D7"/>
    <w:rsid w:val="00FD5526"/>
    <w:rsid w:val="00FD5FE0"/>
    <w:rsid w:val="00FE2512"/>
    <w:rsid w:val="00FE2837"/>
    <w:rsid w:val="00FE3620"/>
    <w:rsid w:val="00FE435B"/>
    <w:rsid w:val="00FE5161"/>
    <w:rsid w:val="00FE55F2"/>
    <w:rsid w:val="00FF103C"/>
    <w:rsid w:val="00FF133B"/>
    <w:rsid w:val="00FF1D27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mf.gov.pl/documents/764034/1002148/metodologia+wersja+polska2001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isap.sejm.gov.pl/DetailsServlet?id=WDU200915712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hyperlink" Target="http://stat.gov.pl/obszary-tematyczne/rachunki-narodowe/europejski-system-rachunkow-narodowych-i-regionalnych-esa-2010/rozporzadzenie-parlamentu-europejskiego-i-rady-ue-nr-5492013-z-dnia-21-maja-2013-r-,1,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-AIZ\Pulpit\MF%20okladka%20raportu%20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5EC6-F01C-4F5E-97B0-74E46C08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okladka raportu B.dot</Template>
  <TotalTime>550</TotalTime>
  <Pages>10</Pages>
  <Words>2302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>1177</Company>
  <LinksUpToDate>false</LinksUpToDate>
  <CharactersWithSpaces>16085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creator>Agnieszka Izdebska</dc:creator>
  <cp:lastModifiedBy>Izdebska Agnieszka</cp:lastModifiedBy>
  <cp:revision>31</cp:revision>
  <cp:lastPrinted>2018-07-27T13:27:00Z</cp:lastPrinted>
  <dcterms:created xsi:type="dcterms:W3CDTF">2018-10-17T10:24:00Z</dcterms:created>
  <dcterms:modified xsi:type="dcterms:W3CDTF">2018-11-09T14:21:00Z</dcterms:modified>
</cp:coreProperties>
</file>