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A8" w:rsidRDefault="0066159B" w:rsidP="0066159B">
      <w:pPr>
        <w:jc w:val="center"/>
        <w:rPr>
          <w:b/>
        </w:rPr>
      </w:pPr>
      <w:r>
        <w:rPr>
          <w:b/>
        </w:rPr>
        <w:t>Komunikat końcowy Misji Przeglądu Gospodarki w ramach Artykułu IV Międzynarodowego Funduszu Walutowego – 2015 r.</w:t>
      </w:r>
    </w:p>
    <w:p w:rsidR="0066159B" w:rsidRDefault="0066159B" w:rsidP="0066159B">
      <w:pPr>
        <w:jc w:val="center"/>
        <w:rPr>
          <w:b/>
        </w:rPr>
      </w:pPr>
    </w:p>
    <w:p w:rsidR="0066159B" w:rsidRDefault="0066159B" w:rsidP="0066159B">
      <w:pPr>
        <w:jc w:val="both"/>
      </w:pPr>
      <w:r>
        <w:t xml:space="preserve">Po </w:t>
      </w:r>
      <w:r w:rsidR="00352B7E">
        <w:t xml:space="preserve">okresie </w:t>
      </w:r>
      <w:r>
        <w:t>spowolnieni</w:t>
      </w:r>
      <w:r w:rsidR="00352B7E">
        <w:t xml:space="preserve">a gospodarczego z </w:t>
      </w:r>
      <w:r>
        <w:t>lat</w:t>
      </w:r>
      <w:r w:rsidR="00352B7E">
        <w:t xml:space="preserve"> </w:t>
      </w:r>
      <w:r>
        <w:t xml:space="preserve">2012-2013, </w:t>
      </w:r>
      <w:r w:rsidR="00352B7E">
        <w:t xml:space="preserve">w Polsce obserwujemy teraz fazę ożywienia  </w:t>
      </w:r>
      <w:r>
        <w:t xml:space="preserve"> </w:t>
      </w:r>
      <w:r w:rsidR="00352B7E">
        <w:t xml:space="preserve">cyklu koniunkturalnego wspieraną </w:t>
      </w:r>
      <w:r>
        <w:t>właściwą polityką gospodarczą oraz dalsz</w:t>
      </w:r>
      <w:r w:rsidR="00352B7E">
        <w:t xml:space="preserve">ą </w:t>
      </w:r>
      <w:r>
        <w:t>integr</w:t>
      </w:r>
      <w:r w:rsidR="00352B7E">
        <w:t xml:space="preserve">acją </w:t>
      </w:r>
      <w:r>
        <w:t xml:space="preserve">z gospodarką światową. </w:t>
      </w:r>
      <w:r w:rsidR="00352B7E">
        <w:t xml:space="preserve">Oczekuje się, że w najbliższych latach uda się utrzymać w Polsce solidny </w:t>
      </w:r>
      <w:r>
        <w:t>wzrost gospodarczy</w:t>
      </w:r>
      <w:r w:rsidR="00352B7E">
        <w:t xml:space="preserve"> przy równocześnie </w:t>
      </w:r>
      <w:r>
        <w:t>nis</w:t>
      </w:r>
      <w:r w:rsidR="00352B7E">
        <w:t xml:space="preserve">kiej </w:t>
      </w:r>
      <w:r>
        <w:t xml:space="preserve"> inflacj</w:t>
      </w:r>
      <w:r w:rsidR="00352B7E">
        <w:t>i</w:t>
      </w:r>
      <w:r>
        <w:t xml:space="preserve">, niemniej </w:t>
      </w:r>
      <w:r w:rsidR="00352B7E">
        <w:t xml:space="preserve">zagrożenia </w:t>
      </w:r>
      <w:r w:rsidR="00C07F0F">
        <w:t>dla perspektyw gospodarki nadal istnieją.</w:t>
      </w:r>
      <w:r>
        <w:t xml:space="preserve"> </w:t>
      </w:r>
      <w:r w:rsidR="00352B7E">
        <w:t xml:space="preserve">Kontynuacja </w:t>
      </w:r>
      <w:r>
        <w:t>reform strukturaln</w:t>
      </w:r>
      <w:r w:rsidR="00352B7E">
        <w:t xml:space="preserve">ych </w:t>
      </w:r>
      <w:r>
        <w:t xml:space="preserve">oraz wzmacnianie zabezpieczeń przez politykę gospodarczą </w:t>
      </w:r>
      <w:r w:rsidR="00352B7E">
        <w:t xml:space="preserve">będą łagodzić te </w:t>
      </w:r>
      <w:r>
        <w:t xml:space="preserve">zagrożenia </w:t>
      </w:r>
      <w:r w:rsidR="00D1637B">
        <w:t xml:space="preserve">i </w:t>
      </w:r>
      <w:r>
        <w:t>zapewnią trwał</w:t>
      </w:r>
      <w:r w:rsidR="00D1637B">
        <w:t xml:space="preserve">ą oraz </w:t>
      </w:r>
      <w:r>
        <w:t>zrównoważo</w:t>
      </w:r>
      <w:r w:rsidR="00D1637B">
        <w:t xml:space="preserve">ną poprawę sytuacji gospodarczej. </w:t>
      </w:r>
    </w:p>
    <w:p w:rsidR="002E0CB1" w:rsidRDefault="0066159B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Wzrost gospodarczy dalej się wzmacnia a inflacja pozostaje niska. </w:t>
      </w:r>
      <w:r>
        <w:t>Dzięki solidnemu popytowi krajowemu wspieranemu przez poprawę warunków finansowych i na rynku pracy w pierwszym kwartale br. wzrost gospodarczy przyspieszył do poziomu 3,5%. Jednakże, towarzyszy mu deflacja będąca skutkiem niskich cen surowców oraz niski</w:t>
      </w:r>
      <w:r w:rsidR="00C07F0F">
        <w:t>ego</w:t>
      </w:r>
      <w:r>
        <w:t xml:space="preserve"> poziom</w:t>
      </w:r>
      <w:r w:rsidR="00C07F0F">
        <w:t>u</w:t>
      </w:r>
      <w:r>
        <w:t xml:space="preserve"> </w:t>
      </w:r>
      <w:r w:rsidR="00D1637B">
        <w:t xml:space="preserve">cen </w:t>
      </w:r>
      <w:r w:rsidR="00EF47F7">
        <w:br/>
      </w:r>
      <w:r w:rsidR="00D1637B">
        <w:t xml:space="preserve">u naszych partnerów handlowych. Oczekuje się, że faza ekspansji gospodarczej będzie kontynuowana przy tempie wzrostu PKB na poziomie 3,5% w 2015 r. i w  średnim okresie.  Pozwoli to </w:t>
      </w:r>
      <w:r w:rsidR="00EF0E5E">
        <w:t xml:space="preserve">domknąć </w:t>
      </w:r>
      <w:r w:rsidR="009A7563">
        <w:t>negatywna luk</w:t>
      </w:r>
      <w:r w:rsidR="00EF0E5E">
        <w:t xml:space="preserve">ę produktową w 2016 r. i  będzie </w:t>
      </w:r>
      <w:r w:rsidR="002E0CB1">
        <w:t>sprzyjać stopniowemu powrotowi wskaźnika inflacji do celu inflacyjnego pod koniec 2016 r.</w:t>
      </w:r>
    </w:p>
    <w:p w:rsidR="0066159B" w:rsidRDefault="002E0CB1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Zagrożenia pozostają </w:t>
      </w:r>
      <w:r w:rsidR="009A7563">
        <w:rPr>
          <w:b/>
        </w:rPr>
        <w:t>podwyższone</w:t>
      </w:r>
      <w:r>
        <w:rPr>
          <w:b/>
        </w:rPr>
        <w:t>.</w:t>
      </w:r>
      <w:r>
        <w:t xml:space="preserve"> Wśród zagrożeń zewnętrznych</w:t>
      </w:r>
      <w:r w:rsidR="00EF0E5E">
        <w:t xml:space="preserve"> należy wymienić ewentualną transmisję </w:t>
      </w:r>
      <w:r>
        <w:t>nagł</w:t>
      </w:r>
      <w:r w:rsidR="00EF0E5E">
        <w:t xml:space="preserve">ego </w:t>
      </w:r>
      <w:r>
        <w:t>wzrost</w:t>
      </w:r>
      <w:r w:rsidR="00EF0E5E">
        <w:t>u</w:t>
      </w:r>
      <w:r>
        <w:t xml:space="preserve"> </w:t>
      </w:r>
      <w:r w:rsidR="00EF0E5E">
        <w:t xml:space="preserve">zmienności </w:t>
      </w:r>
      <w:r>
        <w:t xml:space="preserve">na globalnych rynkach finansowych </w:t>
      </w:r>
      <w:r w:rsidR="00EF47F7">
        <w:br/>
      </w:r>
      <w:r w:rsidR="00EF0E5E">
        <w:t xml:space="preserve">w związku ze </w:t>
      </w:r>
      <w:r w:rsidR="005F2E4F">
        <w:t>znaczn</w:t>
      </w:r>
      <w:r w:rsidR="00EF0E5E">
        <w:t>ym</w:t>
      </w:r>
      <w:r w:rsidR="005F2E4F">
        <w:t xml:space="preserve"> </w:t>
      </w:r>
      <w:r>
        <w:t>udział</w:t>
      </w:r>
      <w:r w:rsidR="00EF0E5E">
        <w:t xml:space="preserve">em </w:t>
      </w:r>
      <w:r>
        <w:t>podmiotów zagranicznych w ry</w:t>
      </w:r>
      <w:r w:rsidR="00F544A9">
        <w:t>nku obligacji skarbowych oraz w </w:t>
      </w:r>
      <w:r>
        <w:t xml:space="preserve">sektorze bankowym. </w:t>
      </w:r>
      <w:r w:rsidR="00EF0E5E">
        <w:t xml:space="preserve">Utrzymujące się </w:t>
      </w:r>
      <w:r>
        <w:t>napięcia geopolityczn</w:t>
      </w:r>
      <w:r w:rsidR="00EF331A">
        <w:t xml:space="preserve">e mogą </w:t>
      </w:r>
      <w:r w:rsidR="00EF0E5E">
        <w:t xml:space="preserve">wpływać na poziom zaufania. </w:t>
      </w:r>
      <w:r w:rsidR="00EF331A">
        <w:t xml:space="preserve"> Zagrożenia te s</w:t>
      </w:r>
      <w:r w:rsidR="005F2E4F">
        <w:t>ą</w:t>
      </w:r>
      <w:r w:rsidR="00EF331A">
        <w:t xml:space="preserve"> jednak łagodzone przez stabilną i zdywersyfikowana bazę inwestorów oraz zmniejszając</w:t>
      </w:r>
      <w:r w:rsidR="005F2E4F">
        <w:t>ą</w:t>
      </w:r>
      <w:r w:rsidR="00EF331A">
        <w:t xml:space="preserve"> się zależność Polski od finansowania przez banki zagraniczne.</w:t>
      </w:r>
      <w:r w:rsidR="005F2E4F">
        <w:t xml:space="preserve"> </w:t>
      </w:r>
      <w:r>
        <w:t xml:space="preserve">Wśród zagrożeń krajowych, wskutek utrwalania się niskich oczekiwań inflacyjnych oraz czynników zewnętrznych inflacja może nie osiągnąć przewidywanego </w:t>
      </w:r>
      <w:r w:rsidR="005F2E4F">
        <w:t>poziomu</w:t>
      </w:r>
      <w:r>
        <w:t xml:space="preserve">. Z drugiej strony, </w:t>
      </w:r>
      <w:r w:rsidR="00EF0E5E">
        <w:t xml:space="preserve">silniejsze </w:t>
      </w:r>
      <w:r>
        <w:t xml:space="preserve">od przewidywanego ożywienie w gospodarkach strefy euro oraz niskie ceny ropy naftowej mogą </w:t>
      </w:r>
      <w:r w:rsidR="00446C4A">
        <w:t xml:space="preserve">skutkować większym od oczekiwanego </w:t>
      </w:r>
      <w:r>
        <w:t xml:space="preserve"> </w:t>
      </w:r>
      <w:r w:rsidR="00446C4A">
        <w:t xml:space="preserve">przyspieszeniem </w:t>
      </w:r>
      <w:r>
        <w:t>wzrostu polskiego PKB</w:t>
      </w:r>
      <w:r w:rsidR="00446C4A">
        <w:t xml:space="preserve">. </w:t>
      </w:r>
    </w:p>
    <w:p w:rsidR="002E0CB1" w:rsidRDefault="002E0CB1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Polityka gospodarcza powinna nadal </w:t>
      </w:r>
      <w:r w:rsidR="00446C4A">
        <w:rPr>
          <w:b/>
        </w:rPr>
        <w:t xml:space="preserve"> koncentrować się </w:t>
      </w:r>
      <w:r>
        <w:rPr>
          <w:b/>
        </w:rPr>
        <w:t xml:space="preserve"> na </w:t>
      </w:r>
      <w:r w:rsidR="00446C4A">
        <w:rPr>
          <w:b/>
        </w:rPr>
        <w:t>utrzymaniu s</w:t>
      </w:r>
      <w:r>
        <w:rPr>
          <w:b/>
        </w:rPr>
        <w:t xml:space="preserve">tabilności oraz wspieraniu </w:t>
      </w:r>
      <w:r w:rsidR="00446C4A">
        <w:rPr>
          <w:b/>
        </w:rPr>
        <w:t xml:space="preserve">procesu </w:t>
      </w:r>
      <w:r>
        <w:rPr>
          <w:b/>
        </w:rPr>
        <w:t>konwergencji dochodów.</w:t>
      </w:r>
      <w:r>
        <w:t xml:space="preserve"> </w:t>
      </w:r>
      <w:r w:rsidR="00B120CE">
        <w:t xml:space="preserve">Dzięki mocnym fundamentom oraz zabezpieczeniu Elastyczną Linią Kredytową MFW polska gospodarka okazała się odporna na </w:t>
      </w:r>
      <w:r w:rsidR="003857A0">
        <w:t xml:space="preserve">pojawiające się </w:t>
      </w:r>
      <w:r w:rsidR="00B120CE">
        <w:t xml:space="preserve">fale </w:t>
      </w:r>
      <w:r w:rsidR="003857A0">
        <w:t xml:space="preserve">zawirowań na rynkach. </w:t>
      </w:r>
      <w:r w:rsidR="00B120CE">
        <w:t>W perspektywie, należy kontynuować zabezpieczanie gospodarki przed szokami oraz wdrażanie reform strukturalnych, co będzie sprzyjać dalszemu wzrostowi poziomu dochodów.</w:t>
      </w:r>
    </w:p>
    <w:p w:rsidR="00B120CE" w:rsidRDefault="00B120CE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Polityka pieniężna powinna zachować </w:t>
      </w:r>
      <w:r w:rsidR="00051C6A">
        <w:rPr>
          <w:b/>
        </w:rPr>
        <w:t xml:space="preserve">łagodne </w:t>
      </w:r>
      <w:r w:rsidR="00F1323D">
        <w:rPr>
          <w:b/>
        </w:rPr>
        <w:t>nastawienie</w:t>
      </w:r>
      <w:r w:rsidR="00051C6A">
        <w:rPr>
          <w:b/>
        </w:rPr>
        <w:t xml:space="preserve">. </w:t>
      </w:r>
      <w:r>
        <w:t xml:space="preserve">Obniżka stopy procentowej </w:t>
      </w:r>
      <w:r w:rsidR="00EF47F7">
        <w:br/>
      </w:r>
      <w:r>
        <w:t>w marcu była decyzją właściwą. Wraz z polityką łagodzenia ilościowego prowadzon</w:t>
      </w:r>
      <w:r w:rsidR="00F1323D">
        <w:t>ą</w:t>
      </w:r>
      <w:r>
        <w:t xml:space="preserve"> przez Europejski Bank Centralny powinna ona być pomocna w uniknięciu przewlekłej niskiej inflacji, która ostatecznie mogłaby zmniejszyć zyski </w:t>
      </w:r>
      <w:r w:rsidR="00F1323D">
        <w:t xml:space="preserve">oraz przynieść </w:t>
      </w:r>
      <w:r>
        <w:t xml:space="preserve"> potencjaln</w:t>
      </w:r>
      <w:r w:rsidR="00F1323D">
        <w:t>e</w:t>
      </w:r>
      <w:r>
        <w:t xml:space="preserve"> negatywn</w:t>
      </w:r>
      <w:r w:rsidR="00F1323D">
        <w:t>e</w:t>
      </w:r>
      <w:r>
        <w:t xml:space="preserve"> skutk</w:t>
      </w:r>
      <w:r w:rsidR="00F1323D">
        <w:t>i</w:t>
      </w:r>
      <w:r>
        <w:t xml:space="preserve"> dla inwestycji, zatrudnienia i wzrostu. Jeśli oczekiwania inflacyjne zawiodą lub </w:t>
      </w:r>
      <w:r w:rsidR="009A7563">
        <w:t xml:space="preserve">uporczywa </w:t>
      </w:r>
      <w:r>
        <w:t>aprecjacja złotego zagrozi celowi inflacyjnemu potrzebne będzie dodatkowe złagodzenie polityki pieniężnej.</w:t>
      </w:r>
    </w:p>
    <w:p w:rsidR="00B120CE" w:rsidRDefault="00A96AC4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lastRenderedPageBreak/>
        <w:t xml:space="preserve">Wyniki sektora finansowego są </w:t>
      </w:r>
      <w:r w:rsidR="00F1323D">
        <w:rPr>
          <w:b/>
        </w:rPr>
        <w:t>bardzo dobre</w:t>
      </w:r>
      <w:r>
        <w:rPr>
          <w:b/>
        </w:rPr>
        <w:t xml:space="preserve">, niemniej należy dokończyć kluczowe reformy </w:t>
      </w:r>
      <w:bookmarkStart w:id="0" w:name="_GoBack"/>
      <w:bookmarkEnd w:id="0"/>
      <w:r>
        <w:rPr>
          <w:b/>
        </w:rPr>
        <w:t>w sektorze.</w:t>
      </w:r>
      <w:r>
        <w:t xml:space="preserve"> System bankowy pozostaje odporny na szoki</w:t>
      </w:r>
      <w:r w:rsidR="00F1323D">
        <w:t>,</w:t>
      </w:r>
      <w:r>
        <w:t xml:space="preserve"> a jego kapitalizacja, płynność i</w:t>
      </w:r>
      <w:r w:rsidR="00F544A9">
        <w:t> </w:t>
      </w:r>
      <w:r>
        <w:t xml:space="preserve">efektywność są prawidłowe. W perspektywie, kluczowe znaczenie dla mocnej i efektywnej sieci bezpieczeństwa finansowego będzie miało szybkie przyjęcie ram dla </w:t>
      </w:r>
      <w:r w:rsidR="00F1323D">
        <w:rPr>
          <w:rFonts w:ascii="Calibri" w:hAnsi="Calibri" w:cs="Calibri"/>
        </w:rPr>
        <w:t>uporządkowanej likwidacji banków</w:t>
      </w:r>
      <w:r>
        <w:t xml:space="preserve">. Pełne wdrożenie </w:t>
      </w:r>
      <w:r w:rsidR="00F1323D">
        <w:t xml:space="preserve">nadzoru </w:t>
      </w:r>
      <w:proofErr w:type="spellStart"/>
      <w:r w:rsidR="00F1323D">
        <w:t>makroostrożnościowego</w:t>
      </w:r>
      <w:proofErr w:type="spellEnd"/>
      <w:r w:rsidR="00F1323D">
        <w:t xml:space="preserve"> </w:t>
      </w:r>
      <w:r>
        <w:t xml:space="preserve">pozwoli na wczesne wykrywanie </w:t>
      </w:r>
      <w:proofErr w:type="spellStart"/>
      <w:r>
        <w:t>ryzyk</w:t>
      </w:r>
      <w:proofErr w:type="spellEnd"/>
      <w:r>
        <w:t xml:space="preserve"> systemowych i zapobieganie im. Należy kontynuować restrukturyzację słabego </w:t>
      </w:r>
      <w:r w:rsidR="00513C05">
        <w:t xml:space="preserve">spółdzielczego </w:t>
      </w:r>
      <w:r w:rsidR="004549DC">
        <w:t xml:space="preserve">segmentu </w:t>
      </w:r>
      <w:r w:rsidR="00513C05">
        <w:t>sektora finansowego</w:t>
      </w:r>
      <w:r w:rsidR="008455F1">
        <w:t>, który jednakże nie ma znaczenia systemowego</w:t>
      </w:r>
      <w:r w:rsidR="004549DC">
        <w:t>.</w:t>
      </w:r>
    </w:p>
    <w:p w:rsidR="004549DC" w:rsidRDefault="004549DC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>Proces stopniowej konsolidacji fiskalnej powinien być kontynuowany.</w:t>
      </w:r>
      <w:r>
        <w:t xml:space="preserve"> Poprawa wyników fiskalnych, jaka miała miejsce w ostatnich latach, stworzyła podstawy do zdjęcia z Polski procedury nadmiernego deficytu. Jest to znaczące osiągnięcie odzwierciedlające wysiłek konsolidacyjny </w:t>
      </w:r>
      <w:r w:rsidR="00F544A9">
        <w:t>rządu RP</w:t>
      </w:r>
      <w:r>
        <w:t xml:space="preserve">. W 2015 r. przewidywany jest dalszy spadek deficytu fiskalnego do poziomu około 2,75% PKB. Średniookresowy cel deficytu fiskalnego na poziomie 1% PKB pozostaje </w:t>
      </w:r>
      <w:r w:rsidR="006D594F">
        <w:t>właściwą</w:t>
      </w:r>
      <w:r>
        <w:t xml:space="preserve"> kotwicą dla fiskalnej stabilności i</w:t>
      </w:r>
      <w:r w:rsidR="00F544A9">
        <w:t xml:space="preserve"> dla odtworzenia </w:t>
      </w:r>
      <w:r w:rsidR="003021D4">
        <w:t xml:space="preserve">przestrzeni </w:t>
      </w:r>
      <w:r w:rsidR="00F544A9">
        <w:t xml:space="preserve"> w </w:t>
      </w:r>
      <w:r>
        <w:t>polityce fiskalnej. Osiągnięcie tego celu</w:t>
      </w:r>
      <w:r w:rsidR="00557D8B">
        <w:t xml:space="preserve"> wymagać</w:t>
      </w:r>
      <w:r>
        <w:t xml:space="preserve"> będzie dodatkowych </w:t>
      </w:r>
      <w:r w:rsidR="003021D4">
        <w:t xml:space="preserve">działań </w:t>
      </w:r>
      <w:r w:rsidR="00F544A9">
        <w:t xml:space="preserve"> </w:t>
      </w:r>
      <w:r w:rsidR="003021D4">
        <w:t>konsolidacyjnych na około</w:t>
      </w:r>
      <w:r w:rsidR="00557D8B">
        <w:t xml:space="preserve"> 1% PKB. W związku z tym</w:t>
      </w:r>
      <w:r w:rsidR="00F544A9">
        <w:t>,</w:t>
      </w:r>
      <w:r w:rsidR="00557D8B">
        <w:t xml:space="preserve"> istotnymi przedsięwzięciami będą identyfikacja oszczędności w wydatkach wspierająca wdrożenie reguły fiskalnej oraz redukcja dużej luki w dochodach </w:t>
      </w:r>
      <w:r w:rsidR="00EF47F7">
        <w:br/>
      </w:r>
      <w:r w:rsidR="00557D8B">
        <w:t>z podatku VAT.</w:t>
      </w:r>
    </w:p>
    <w:p w:rsidR="00557D8B" w:rsidRDefault="00557D8B" w:rsidP="0066159B">
      <w:pPr>
        <w:pStyle w:val="Akapitzlist"/>
        <w:numPr>
          <w:ilvl w:val="0"/>
          <w:numId w:val="1"/>
        </w:numPr>
        <w:jc w:val="both"/>
      </w:pPr>
      <w:r>
        <w:rPr>
          <w:b/>
        </w:rPr>
        <w:t>Reformy strukturalne zwiększą produktywność i ułatwia konwergencje dochodów.</w:t>
      </w:r>
      <w:r>
        <w:t xml:space="preserve"> Wysiłek powinien nadal być skupiony na podwyższaniu zakresu w</w:t>
      </w:r>
      <w:r w:rsidR="00AD6D00">
        <w:t>artości dodanej oraz przemieszcza</w:t>
      </w:r>
      <w:r>
        <w:t>niu zasobów do sektorów o wyższej produktywności.</w:t>
      </w:r>
      <w:r w:rsidR="00AD6D00">
        <w:t xml:space="preserve"> Osiągnięciu tych celów pomoże wspieranie innowacji, inwestycji typu </w:t>
      </w:r>
      <w:proofErr w:type="spellStart"/>
      <w:r w:rsidR="00AD6D00" w:rsidRPr="00F544A9">
        <w:rPr>
          <w:i/>
        </w:rPr>
        <w:t>greenfield</w:t>
      </w:r>
      <w:proofErr w:type="spellEnd"/>
      <w:r w:rsidR="00AD6D00">
        <w:t xml:space="preserve"> oraz lepsze dostosowanie edukacji do potrzeb pracodawców. W tym kontekście należy pozytywnie ocenić ostatnie przedsięwzięcia zmierzające </w:t>
      </w:r>
      <w:r w:rsidR="00A94FAA">
        <w:t>do ogranicz</w:t>
      </w:r>
      <w:r w:rsidR="006D594F">
        <w:t>enia</w:t>
      </w:r>
      <w:r w:rsidR="00AD6D00">
        <w:t xml:space="preserve"> </w:t>
      </w:r>
      <w:r w:rsidR="00F544A9">
        <w:t>biurokracji</w:t>
      </w:r>
      <w:r w:rsidR="00A94FAA">
        <w:t>,</w:t>
      </w:r>
      <w:r w:rsidR="00AD6D00">
        <w:t xml:space="preserve"> listy zawodów podlegających regulacjom oraz segmentacji rynku pracy, czemu sprzyja lepsze dostosowanie przepisów prawa cywilnego do zawieranych kontraktów.</w:t>
      </w:r>
    </w:p>
    <w:p w:rsidR="00AD6D00" w:rsidRPr="0066159B" w:rsidRDefault="00AD6D00" w:rsidP="00AD6D00">
      <w:pPr>
        <w:jc w:val="both"/>
      </w:pPr>
      <w:r>
        <w:t>Członkowie misji MFW dziękują przedstawicielom władz RP oraz innym partnerom za otwart</w:t>
      </w:r>
      <w:r w:rsidR="00F544A9">
        <w:t>ą</w:t>
      </w:r>
      <w:r>
        <w:t xml:space="preserve"> i</w:t>
      </w:r>
      <w:r w:rsidR="00F544A9">
        <w:t> </w:t>
      </w:r>
      <w:r>
        <w:t>konstruktywn</w:t>
      </w:r>
      <w:r w:rsidR="00F544A9">
        <w:t>ą</w:t>
      </w:r>
      <w:r>
        <w:t xml:space="preserve"> dyskusję.</w:t>
      </w:r>
    </w:p>
    <w:sectPr w:rsidR="00AD6D00" w:rsidRPr="0066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DA4"/>
    <w:multiLevelType w:val="hybridMultilevel"/>
    <w:tmpl w:val="ADF2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9B"/>
    <w:rsid w:val="00051C6A"/>
    <w:rsid w:val="001159C7"/>
    <w:rsid w:val="001B2900"/>
    <w:rsid w:val="00211A0E"/>
    <w:rsid w:val="002E0CB1"/>
    <w:rsid w:val="003021D4"/>
    <w:rsid w:val="00352B7E"/>
    <w:rsid w:val="003857A0"/>
    <w:rsid w:val="00446C4A"/>
    <w:rsid w:val="004549DC"/>
    <w:rsid w:val="00513C05"/>
    <w:rsid w:val="00557D8B"/>
    <w:rsid w:val="005F2E4F"/>
    <w:rsid w:val="0066159B"/>
    <w:rsid w:val="006D594F"/>
    <w:rsid w:val="007B2A23"/>
    <w:rsid w:val="008455F1"/>
    <w:rsid w:val="009053A8"/>
    <w:rsid w:val="009A7563"/>
    <w:rsid w:val="00A94FAA"/>
    <w:rsid w:val="00A96AC4"/>
    <w:rsid w:val="00AD6D00"/>
    <w:rsid w:val="00B120CE"/>
    <w:rsid w:val="00C07F0F"/>
    <w:rsid w:val="00D1637B"/>
    <w:rsid w:val="00EF0E5E"/>
    <w:rsid w:val="00EF331A"/>
    <w:rsid w:val="00EF47F7"/>
    <w:rsid w:val="00F1323D"/>
    <w:rsid w:val="00F23769"/>
    <w:rsid w:val="00F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Wilczyński Ryszard</dc:creator>
  <cp:lastModifiedBy>Gutowski Adam</cp:lastModifiedBy>
  <cp:revision>2</cp:revision>
  <dcterms:created xsi:type="dcterms:W3CDTF">2015-05-18T13:56:00Z</dcterms:created>
  <dcterms:modified xsi:type="dcterms:W3CDTF">2015-05-18T13:56:00Z</dcterms:modified>
</cp:coreProperties>
</file>