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13" w:rsidRDefault="00EB5661" w:rsidP="00D52F56">
      <w:pPr>
        <w:jc w:val="both"/>
        <w:rPr>
          <w:b/>
        </w:rPr>
      </w:pPr>
      <w:r w:rsidRPr="00EB5661">
        <w:rPr>
          <w:b/>
        </w:rPr>
        <w:t xml:space="preserve">Komunikat końcowy </w:t>
      </w:r>
      <w:r w:rsidR="00D52F56">
        <w:rPr>
          <w:b/>
        </w:rPr>
        <w:t>m</w:t>
      </w:r>
      <w:r w:rsidRPr="00EB5661">
        <w:rPr>
          <w:b/>
        </w:rPr>
        <w:t xml:space="preserve">isji </w:t>
      </w:r>
      <w:r w:rsidR="00D52F56">
        <w:rPr>
          <w:b/>
        </w:rPr>
        <w:t xml:space="preserve">MFW z </w:t>
      </w:r>
      <w:r w:rsidRPr="00EB5661">
        <w:rPr>
          <w:b/>
        </w:rPr>
        <w:t xml:space="preserve">Przeglądu Gospodarki w ramach Artykułu IV Statutu </w:t>
      </w:r>
      <w:r w:rsidRPr="00EB5661">
        <w:rPr>
          <w:b/>
        </w:rPr>
        <w:br/>
        <w:t xml:space="preserve">Międzynarodowego Funduszu Walutowego – 2016 </w:t>
      </w:r>
    </w:p>
    <w:p w:rsidR="00D52F56" w:rsidRDefault="00D52F56" w:rsidP="00D52F56">
      <w:pPr>
        <w:jc w:val="both"/>
        <w:rPr>
          <w:b/>
        </w:rPr>
      </w:pPr>
      <w:r>
        <w:rPr>
          <w:b/>
        </w:rPr>
        <w:t>(robocze tłumaczenie)</w:t>
      </w:r>
    </w:p>
    <w:p w:rsidR="00EB5661" w:rsidRDefault="00EB5661" w:rsidP="00D52F56">
      <w:pPr>
        <w:jc w:val="both"/>
        <w:rPr>
          <w:b/>
        </w:rPr>
      </w:pPr>
    </w:p>
    <w:p w:rsidR="00EB5661" w:rsidRDefault="00EB5661" w:rsidP="00D52F56">
      <w:pPr>
        <w:jc w:val="both"/>
      </w:pPr>
      <w:r w:rsidRPr="00EB5661">
        <w:t xml:space="preserve">Proces konwergencji </w:t>
      </w:r>
      <w:r>
        <w:t>Polski z krajami UE</w:t>
      </w:r>
      <w:r w:rsidR="00D96EC5">
        <w:t xml:space="preserve"> postępuje</w:t>
      </w:r>
      <w:r w:rsidR="009D0A95">
        <w:t>,</w:t>
      </w:r>
      <w:r w:rsidR="00D96EC5">
        <w:t xml:space="preserve"> a</w:t>
      </w:r>
      <w:r>
        <w:t xml:space="preserve"> wzrost utrzymuje się na poziomie znacznie</w:t>
      </w:r>
      <w:r w:rsidR="00D96EC5">
        <w:t xml:space="preserve"> przekraczającym </w:t>
      </w:r>
      <w:r w:rsidR="00216B17">
        <w:t>porównywalne gospodarki.</w:t>
      </w:r>
      <w:r w:rsidR="00D96EC5">
        <w:t xml:space="preserve"> </w:t>
      </w:r>
      <w:r w:rsidR="00423758">
        <w:t xml:space="preserve">Jednakże, </w:t>
      </w:r>
      <w:r w:rsidR="001B4513">
        <w:t xml:space="preserve">podwyższone ryzyka zewnętrzne oraz </w:t>
      </w:r>
      <w:r w:rsidR="00423758">
        <w:t>ostatnie</w:t>
      </w:r>
      <w:r>
        <w:t xml:space="preserve"> </w:t>
      </w:r>
      <w:r w:rsidR="00211B0C">
        <w:t xml:space="preserve">inicjatywy związane z polityką gospodarczą </w:t>
      </w:r>
      <w:r w:rsidR="00DB40EF">
        <w:t xml:space="preserve">osłabiły </w:t>
      </w:r>
      <w:r w:rsidR="009D0A95">
        <w:t>zaufani</w:t>
      </w:r>
      <w:r w:rsidR="00211B0C">
        <w:t>e</w:t>
      </w:r>
      <w:r w:rsidR="009D0A95">
        <w:t xml:space="preserve"> </w:t>
      </w:r>
      <w:r>
        <w:t xml:space="preserve">inwestorów i </w:t>
      </w:r>
      <w:r w:rsidR="009D0A95">
        <w:t xml:space="preserve">w połączeniu </w:t>
      </w:r>
      <w:r w:rsidR="00427D94">
        <w:br/>
      </w:r>
      <w:r>
        <w:t xml:space="preserve">z długoterminowymi wyzwaniami strukturalnymi mogą spowolnić zarówno wzrost gospodarczy, jak </w:t>
      </w:r>
      <w:r w:rsidR="00427D94">
        <w:br/>
      </w:r>
      <w:r>
        <w:t xml:space="preserve">i proces </w:t>
      </w:r>
      <w:r w:rsidR="00F97CF1">
        <w:t>konwergencji. Kluczowymi czynnikami dla osiągni</w:t>
      </w:r>
      <w:r w:rsidR="00211B0C">
        <w:t>ę</w:t>
      </w:r>
      <w:r w:rsidR="00F97CF1">
        <w:t xml:space="preserve">cia </w:t>
      </w:r>
      <w:r w:rsidR="00211B0C">
        <w:t xml:space="preserve">trwałego </w:t>
      </w:r>
      <w:r w:rsidR="00F97CF1">
        <w:t xml:space="preserve">i inkluzywnego wzrostu pozostają </w:t>
      </w:r>
      <w:r w:rsidR="00211B0C">
        <w:t>solidne</w:t>
      </w:r>
      <w:r w:rsidR="00D52F56">
        <w:t xml:space="preserve"> </w:t>
      </w:r>
      <w:r w:rsidR="00D96EC5">
        <w:t xml:space="preserve">instytucje, polityki prorozwojowe oraz reformy strukturalne. </w:t>
      </w:r>
      <w:r w:rsidR="00D96EC5">
        <w:tab/>
      </w:r>
      <w:r w:rsidR="00D96EC5">
        <w:br/>
      </w:r>
    </w:p>
    <w:p w:rsidR="00D96EC5" w:rsidRDefault="00BC69FC" w:rsidP="00D52F56">
      <w:pPr>
        <w:pStyle w:val="Akapitzlist"/>
        <w:numPr>
          <w:ilvl w:val="0"/>
          <w:numId w:val="1"/>
        </w:numPr>
        <w:jc w:val="both"/>
      </w:pPr>
      <w:r w:rsidRPr="00BC69FC">
        <w:rPr>
          <w:b/>
        </w:rPr>
        <w:t xml:space="preserve">Polska odnotowuje </w:t>
      </w:r>
      <w:r w:rsidR="00B47E5B">
        <w:rPr>
          <w:b/>
        </w:rPr>
        <w:t>szybką ekspansję gospodarczą</w:t>
      </w:r>
      <w:r w:rsidR="009D0A95">
        <w:rPr>
          <w:b/>
        </w:rPr>
        <w:t>,</w:t>
      </w:r>
      <w:r w:rsidR="00B47E5B">
        <w:rPr>
          <w:b/>
        </w:rPr>
        <w:t xml:space="preserve"> </w:t>
      </w:r>
      <w:r w:rsidR="00CF74FF">
        <w:rPr>
          <w:b/>
        </w:rPr>
        <w:t xml:space="preserve">choć </w:t>
      </w:r>
      <w:r w:rsidR="008E1B62">
        <w:rPr>
          <w:b/>
        </w:rPr>
        <w:t xml:space="preserve">czynniki zewnętrzne </w:t>
      </w:r>
      <w:r w:rsidR="00CF74FF">
        <w:rPr>
          <w:b/>
        </w:rPr>
        <w:t xml:space="preserve">negatywnie oddziałują </w:t>
      </w:r>
      <w:r w:rsidR="008E1B62">
        <w:rPr>
          <w:b/>
        </w:rPr>
        <w:t xml:space="preserve">na inflację. </w:t>
      </w:r>
      <w:r w:rsidR="00211B0C" w:rsidRPr="00283C45">
        <w:t>W 2015 r.</w:t>
      </w:r>
      <w:r w:rsidR="00211B0C">
        <w:rPr>
          <w:b/>
        </w:rPr>
        <w:t xml:space="preserve"> </w:t>
      </w:r>
      <w:r w:rsidR="00211B0C">
        <w:t>w</w:t>
      </w:r>
      <w:r w:rsidR="008E1B62" w:rsidRPr="008E1B62">
        <w:t xml:space="preserve">zrost gospodarczy wyniósł </w:t>
      </w:r>
      <w:r w:rsidR="00CF74FF">
        <w:t>3,6%</w:t>
      </w:r>
      <w:r w:rsidR="009D0A95">
        <w:t>,</w:t>
      </w:r>
      <w:r w:rsidR="00CF74FF">
        <w:t xml:space="preserve"> a głównym jego </w:t>
      </w:r>
      <w:r w:rsidR="009D0A95">
        <w:t xml:space="preserve">motorem </w:t>
      </w:r>
      <w:r w:rsidR="00CF74FF">
        <w:t xml:space="preserve">był silny popyt wewnętrzny, wspierany przez </w:t>
      </w:r>
      <w:r w:rsidR="00211B0C">
        <w:t>mocną</w:t>
      </w:r>
      <w:r w:rsidR="00D52F56">
        <w:t xml:space="preserve"> </w:t>
      </w:r>
      <w:r w:rsidR="00CF74FF">
        <w:t xml:space="preserve">ekspansję kredytową </w:t>
      </w:r>
      <w:r w:rsidR="000247A0">
        <w:t>i wzrost</w:t>
      </w:r>
      <w:r w:rsidR="00CF74FF">
        <w:t xml:space="preserve"> płac. </w:t>
      </w:r>
      <w:r w:rsidR="000247A0">
        <w:t xml:space="preserve">Bezrobocie szybko się zmniejszyło a </w:t>
      </w:r>
      <w:r w:rsidR="00211B0C">
        <w:t xml:space="preserve">potencjał produkcyjny </w:t>
      </w:r>
      <w:r w:rsidR="000247A0">
        <w:t>gospodark</w:t>
      </w:r>
      <w:r w:rsidR="00211B0C">
        <w:t>i</w:t>
      </w:r>
      <w:r w:rsidR="000247A0">
        <w:t xml:space="preserve"> </w:t>
      </w:r>
      <w:r w:rsidR="00211B0C">
        <w:t xml:space="preserve">jest bliski pełnego wykorzystania. </w:t>
      </w:r>
      <w:r w:rsidR="000247A0">
        <w:t>Jednakże, niska</w:t>
      </w:r>
      <w:r w:rsidR="00423758">
        <w:t xml:space="preserve"> </w:t>
      </w:r>
      <w:r w:rsidR="000247A0">
        <w:t xml:space="preserve">importowana </w:t>
      </w:r>
      <w:r w:rsidR="00DB40EF">
        <w:t xml:space="preserve">inflacja </w:t>
      </w:r>
      <w:r w:rsidR="000247A0">
        <w:t>utrzym</w:t>
      </w:r>
      <w:r w:rsidR="00DB40EF">
        <w:t>uje</w:t>
      </w:r>
      <w:r w:rsidR="000247A0">
        <w:t xml:space="preserve"> </w:t>
      </w:r>
      <w:r w:rsidR="00DB40EF">
        <w:t xml:space="preserve">wskaźnik </w:t>
      </w:r>
      <w:r w:rsidR="000247A0">
        <w:t>inflacj</w:t>
      </w:r>
      <w:r w:rsidR="00DB40EF">
        <w:t>i</w:t>
      </w:r>
      <w:r w:rsidR="000247A0">
        <w:t xml:space="preserve"> znacząco poniżej celu. Oczekuje się, że wzrost pozostanie silny w 2016 r. i przyśpieszy do </w:t>
      </w:r>
      <w:r w:rsidR="009D0A95">
        <w:t>blisko</w:t>
      </w:r>
      <w:r w:rsidR="001B4513">
        <w:t xml:space="preserve"> </w:t>
      </w:r>
      <w:r w:rsidR="00606025">
        <w:t xml:space="preserve">4% </w:t>
      </w:r>
      <w:r w:rsidR="00283C45">
        <w:br/>
      </w:r>
      <w:r w:rsidR="00606025">
        <w:t>w 2017 r.</w:t>
      </w:r>
      <w:r w:rsidR="000247A0">
        <w:t>, wspierany przez silną konsumpcję prywatną, co spowoduje</w:t>
      </w:r>
      <w:r w:rsidR="00606025">
        <w:t xml:space="preserve"> otwarcie</w:t>
      </w:r>
      <w:r w:rsidR="00E26E74">
        <w:t xml:space="preserve"> dodatniej</w:t>
      </w:r>
      <w:r w:rsidR="00606025">
        <w:t xml:space="preserve"> luki produktowej. </w:t>
      </w:r>
      <w:r w:rsidR="000247A0">
        <w:t xml:space="preserve"> </w:t>
      </w:r>
      <w:r w:rsidR="00E26E74">
        <w:t>P</w:t>
      </w:r>
      <w:r w:rsidR="00606025">
        <w:t xml:space="preserve">omoże </w:t>
      </w:r>
      <w:r w:rsidR="009D0A95">
        <w:t xml:space="preserve">to </w:t>
      </w:r>
      <w:r w:rsidR="00E26E74">
        <w:t xml:space="preserve">podwyższyć </w:t>
      </w:r>
      <w:r w:rsidR="00283C45">
        <w:t>przed końcem</w:t>
      </w:r>
      <w:r w:rsidR="00E26E74">
        <w:t xml:space="preserve"> 2017 r. </w:t>
      </w:r>
      <w:r w:rsidR="00606025">
        <w:t xml:space="preserve">inflację do </w:t>
      </w:r>
      <w:r w:rsidR="00E26E74">
        <w:t xml:space="preserve">dolnej granicy </w:t>
      </w:r>
      <w:r w:rsidR="00606025">
        <w:t>pasma wahań (1,5 do 3,5%)</w:t>
      </w:r>
      <w:r w:rsidR="00E26E74">
        <w:t>.</w:t>
      </w:r>
      <w:r w:rsidR="00606025">
        <w:t xml:space="preserve"> </w:t>
      </w:r>
    </w:p>
    <w:p w:rsidR="00606025" w:rsidRDefault="00E26E74" w:rsidP="00D52F56">
      <w:pPr>
        <w:pStyle w:val="Akapitzlist"/>
        <w:numPr>
          <w:ilvl w:val="0"/>
          <w:numId w:val="1"/>
        </w:numPr>
        <w:jc w:val="both"/>
      </w:pPr>
      <w:r>
        <w:rPr>
          <w:b/>
        </w:rPr>
        <w:t>Zwiększyły się z</w:t>
      </w:r>
      <w:r w:rsidR="00606025">
        <w:rPr>
          <w:b/>
        </w:rPr>
        <w:t>agrożenia dla p</w:t>
      </w:r>
      <w:r w:rsidR="00DB40EF">
        <w:rPr>
          <w:b/>
        </w:rPr>
        <w:t xml:space="preserve">erspektyw </w:t>
      </w:r>
      <w:r w:rsidR="00606025">
        <w:rPr>
          <w:b/>
        </w:rPr>
        <w:t>gospodarczych</w:t>
      </w:r>
      <w:r>
        <w:rPr>
          <w:b/>
        </w:rPr>
        <w:t>.</w:t>
      </w:r>
      <w:r w:rsidR="00606025">
        <w:rPr>
          <w:b/>
        </w:rPr>
        <w:t xml:space="preserve"> </w:t>
      </w:r>
      <w:r w:rsidR="00BD1765">
        <w:t>Ryzyka zewnętrzne obejmujące znaczące spowolnienie gospodarek wschodzących, niestabilność rynków finansowych oraz</w:t>
      </w:r>
      <w:r w:rsidR="00D52F56">
        <w:t xml:space="preserve"> </w:t>
      </w:r>
      <w:r w:rsidR="00DB40EF">
        <w:t>długotrwałe</w:t>
      </w:r>
      <w:r w:rsidR="00BD1765">
        <w:t xml:space="preserve"> spowolnienie gospodarcze w strefie euro, mogą </w:t>
      </w:r>
      <w:r w:rsidR="009D0A95">
        <w:t>oddziaływać na Polskę</w:t>
      </w:r>
      <w:r w:rsidR="00BD1765">
        <w:t xml:space="preserve"> poprzez handel i powiązania finansowe. W odniesieniu do czynników krajowych, </w:t>
      </w:r>
      <w:r w:rsidR="009D0A95">
        <w:t xml:space="preserve">osłabienie  </w:t>
      </w:r>
      <w:r w:rsidR="001B4513">
        <w:t>niektórych instytucji i polityk</w:t>
      </w:r>
      <w:r w:rsidR="009315AA">
        <w:t xml:space="preserve"> </w:t>
      </w:r>
      <w:r w:rsidR="00423758">
        <w:t>oraz</w:t>
      </w:r>
      <w:r w:rsidR="009315AA">
        <w:t xml:space="preserve"> odchylenia od zadeklarowanych celów fiskalnych mogą pogorszyć zaufanie inwestorów i spowolnić </w:t>
      </w:r>
      <w:r w:rsidR="009D0A95">
        <w:t>wzrost</w:t>
      </w:r>
      <w:r w:rsidR="009315AA">
        <w:t xml:space="preserve">. W dłuższym okresie, szybko starzejące się społeczeństwo stanowi </w:t>
      </w:r>
      <w:r w:rsidR="009D0A95">
        <w:t xml:space="preserve">istotne </w:t>
      </w:r>
      <w:r w:rsidR="009315AA">
        <w:t>wyzwanie dla potencjalnego wzrostu i stabilności</w:t>
      </w:r>
      <w:r w:rsidR="00DB40EF">
        <w:t xml:space="preserve"> fiskalnej</w:t>
      </w:r>
      <w:r w:rsidR="009315AA">
        <w:t xml:space="preserve">. </w:t>
      </w:r>
      <w:r w:rsidR="00DB40EF">
        <w:t>Jednocześnie</w:t>
      </w:r>
      <w:r w:rsidR="009315AA">
        <w:t xml:space="preserve">, utrzymujące się </w:t>
      </w:r>
      <w:r w:rsidR="00423758">
        <w:t xml:space="preserve">różnice dochodowe pomiędzy </w:t>
      </w:r>
      <w:r w:rsidR="00457B04">
        <w:t>zamożną</w:t>
      </w:r>
      <w:r w:rsidR="00423758">
        <w:t xml:space="preserve"> Polską </w:t>
      </w:r>
      <w:r w:rsidR="00DB40EF">
        <w:t>z</w:t>
      </w:r>
      <w:r w:rsidR="00423758">
        <w:t xml:space="preserve">achodnią </w:t>
      </w:r>
      <w:r w:rsidR="00427D94">
        <w:br/>
      </w:r>
      <w:r w:rsidR="00423758">
        <w:t xml:space="preserve">i pozostającą w tyle Polską </w:t>
      </w:r>
      <w:r w:rsidR="00DB40EF">
        <w:t>w</w:t>
      </w:r>
      <w:r w:rsidR="00423758">
        <w:t>schodnią o</w:t>
      </w:r>
      <w:r>
        <w:t>bniża</w:t>
      </w:r>
      <w:r w:rsidR="00DB40EF">
        <w:t>ją</w:t>
      </w:r>
      <w:r w:rsidR="00423758">
        <w:t xml:space="preserve"> jakość wzrostu. </w:t>
      </w:r>
    </w:p>
    <w:p w:rsidR="00423758" w:rsidRPr="008471F8" w:rsidRDefault="00283C45" w:rsidP="00D52F5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Dobre</w:t>
      </w:r>
      <w:r w:rsidR="00423758" w:rsidRPr="00423758">
        <w:rPr>
          <w:b/>
        </w:rPr>
        <w:t xml:space="preserve"> polityki i </w:t>
      </w:r>
      <w:r>
        <w:rPr>
          <w:b/>
        </w:rPr>
        <w:t xml:space="preserve">silne </w:t>
      </w:r>
      <w:r w:rsidR="00423758" w:rsidRPr="00423758">
        <w:rPr>
          <w:b/>
        </w:rPr>
        <w:t>insty</w:t>
      </w:r>
      <w:r w:rsidR="00423758">
        <w:rPr>
          <w:b/>
        </w:rPr>
        <w:t xml:space="preserve">tucje są kluczowe dla zmniejszenia </w:t>
      </w:r>
      <w:r w:rsidR="00423758" w:rsidRPr="00423758">
        <w:rPr>
          <w:b/>
        </w:rPr>
        <w:t xml:space="preserve">ryzyk </w:t>
      </w:r>
      <w:r w:rsidR="00457B04">
        <w:rPr>
          <w:b/>
        </w:rPr>
        <w:t>oraz</w:t>
      </w:r>
      <w:r w:rsidR="00457B04" w:rsidRPr="00423758">
        <w:rPr>
          <w:b/>
        </w:rPr>
        <w:t xml:space="preserve"> </w:t>
      </w:r>
      <w:r w:rsidR="00457B04">
        <w:rPr>
          <w:b/>
        </w:rPr>
        <w:t xml:space="preserve">wsparcia </w:t>
      </w:r>
      <w:r w:rsidR="00E26E74">
        <w:rPr>
          <w:b/>
        </w:rPr>
        <w:t xml:space="preserve">trwałego </w:t>
      </w:r>
      <w:r w:rsidR="00427D94">
        <w:rPr>
          <w:b/>
        </w:rPr>
        <w:br/>
      </w:r>
      <w:r w:rsidR="00E26E74">
        <w:rPr>
          <w:b/>
        </w:rPr>
        <w:t xml:space="preserve">i </w:t>
      </w:r>
      <w:r w:rsidR="00423758">
        <w:rPr>
          <w:b/>
        </w:rPr>
        <w:t xml:space="preserve">zrównoważonego wzrostu. </w:t>
      </w:r>
      <w:r w:rsidR="00457B04">
        <w:t>Przy</w:t>
      </w:r>
      <w:r w:rsidR="00423758">
        <w:t xml:space="preserve"> </w:t>
      </w:r>
      <w:r w:rsidR="00457B04">
        <w:t xml:space="preserve">zamkniętej luce </w:t>
      </w:r>
      <w:r w:rsidR="00423758">
        <w:t>produktow</w:t>
      </w:r>
      <w:r w:rsidR="00457B04">
        <w:t>ej, której towarzyszy</w:t>
      </w:r>
      <w:r w:rsidR="00FF7FC9">
        <w:br/>
      </w:r>
      <w:r w:rsidR="00457B04">
        <w:t>wciąż</w:t>
      </w:r>
      <w:r w:rsidR="00042A9A">
        <w:t xml:space="preserve"> nisk</w:t>
      </w:r>
      <w:r w:rsidR="00457B04">
        <w:t>a</w:t>
      </w:r>
      <w:r w:rsidR="00042A9A">
        <w:t xml:space="preserve"> inflacj</w:t>
      </w:r>
      <w:r w:rsidR="00457B04">
        <w:t>a</w:t>
      </w:r>
      <w:r w:rsidR="00042A9A">
        <w:t>,</w:t>
      </w:r>
      <w:r w:rsidR="00B0322A">
        <w:t xml:space="preserve"> w krótkim okresie polityka makroekonomiczna powinna być starannie wyważona tak</w:t>
      </w:r>
      <w:r w:rsidR="001C6C04">
        <w:t>,</w:t>
      </w:r>
      <w:r w:rsidR="00042A9A">
        <w:t xml:space="preserve"> by utrzymać </w:t>
      </w:r>
      <w:r w:rsidR="00457B04">
        <w:t xml:space="preserve">łagodną </w:t>
      </w:r>
      <w:r w:rsidR="00042A9A">
        <w:t>politykę monetarną</w:t>
      </w:r>
      <w:r w:rsidR="00457B04">
        <w:t>,</w:t>
      </w:r>
      <w:r w:rsidR="00042A9A">
        <w:t xml:space="preserve"> kontynu</w:t>
      </w:r>
      <w:r w:rsidR="00457B04">
        <w:t>ując jednocześnie</w:t>
      </w:r>
      <w:r w:rsidR="00042A9A">
        <w:t xml:space="preserve"> stopniow</w:t>
      </w:r>
      <w:r w:rsidR="00457B04">
        <w:t>ą</w:t>
      </w:r>
      <w:r w:rsidR="00042A9A">
        <w:t xml:space="preserve"> konsolidacj</w:t>
      </w:r>
      <w:r w:rsidR="00457B04">
        <w:t>ę</w:t>
      </w:r>
      <w:r w:rsidR="00042A9A">
        <w:t xml:space="preserve"> fiskaln</w:t>
      </w:r>
      <w:r w:rsidR="00457B04">
        <w:t>ą</w:t>
      </w:r>
      <w:r w:rsidR="00042A9A">
        <w:t xml:space="preserve">. Zabezpieczenie stabilności sektora finansowego i silnych instytucji, wzmocnione przez </w:t>
      </w:r>
      <w:r w:rsidR="008471F8">
        <w:t>polityki prorynkowe</w:t>
      </w:r>
      <w:r w:rsidR="00457B04">
        <w:t>,</w:t>
      </w:r>
      <w:r w:rsidR="008471F8">
        <w:t xml:space="preserve"> stanowi warunek zasadniczy dla kontynuacji stabilnego wzrostu. Reformy strukturalne będą kluczem dla zabezpieczenia </w:t>
      </w:r>
      <w:r w:rsidR="00B0322A">
        <w:t xml:space="preserve">solidnego </w:t>
      </w:r>
      <w:r w:rsidR="008471F8">
        <w:t>wzrostu</w:t>
      </w:r>
      <w:r w:rsidR="00B0322A">
        <w:t xml:space="preserve"> potencjalnego</w:t>
      </w:r>
      <w:r w:rsidR="008471F8">
        <w:t xml:space="preserve"> i konwergencji dochodów, przy równoczesnym zredukowaniu różnic regionalnych. </w:t>
      </w:r>
      <w:r w:rsidR="005667D5">
        <w:t xml:space="preserve">Rezerwy walutowe są zasadniczo wystarczające. </w:t>
      </w:r>
      <w:r w:rsidR="00B0322A">
        <w:t>Dostęp do</w:t>
      </w:r>
      <w:r w:rsidR="008471F8">
        <w:t xml:space="preserve"> Elastycznej Linii Kredytowej </w:t>
      </w:r>
      <w:r w:rsidR="00B0322A">
        <w:t xml:space="preserve">MFW </w:t>
      </w:r>
      <w:r w:rsidR="008471F8">
        <w:t>(</w:t>
      </w:r>
      <w:r w:rsidR="008471F8" w:rsidRPr="008471F8">
        <w:rPr>
          <w:i/>
        </w:rPr>
        <w:t>Flexible Credit Line</w:t>
      </w:r>
      <w:r w:rsidR="008471F8">
        <w:t xml:space="preserve">, FCL) zapewnia dodatkowe zabezpieczenie na wypadek szoków zewnętrznych. </w:t>
      </w:r>
    </w:p>
    <w:p w:rsidR="00032FA1" w:rsidRPr="00032FA1" w:rsidRDefault="008471F8" w:rsidP="00D52F5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Obecna </w:t>
      </w:r>
      <w:r w:rsidR="00457B04">
        <w:rPr>
          <w:b/>
        </w:rPr>
        <w:t xml:space="preserve">łagodna </w:t>
      </w:r>
      <w:r>
        <w:rPr>
          <w:b/>
        </w:rPr>
        <w:t xml:space="preserve">polityka monetarna jest odpowiednia. </w:t>
      </w:r>
      <w:r w:rsidR="00457B04">
        <w:t>Stopa referencyjna</w:t>
      </w:r>
      <w:r>
        <w:t xml:space="preserve"> utrzymywan</w:t>
      </w:r>
      <w:r w:rsidR="00457B04">
        <w:t>a</w:t>
      </w:r>
      <w:r>
        <w:t xml:space="preserve"> </w:t>
      </w:r>
      <w:r w:rsidR="00457B04">
        <w:t xml:space="preserve">jest </w:t>
      </w:r>
      <w:r>
        <w:t xml:space="preserve">na historycznie </w:t>
      </w:r>
      <w:r w:rsidR="00457B04">
        <w:t xml:space="preserve">niskim </w:t>
      </w:r>
      <w:r>
        <w:t>poziom</w:t>
      </w:r>
      <w:r w:rsidR="00457B04">
        <w:t>ie</w:t>
      </w:r>
      <w:r>
        <w:t xml:space="preserve"> </w:t>
      </w:r>
      <w:r w:rsidR="00D36C26">
        <w:t xml:space="preserve">od marca </w:t>
      </w:r>
      <w:r w:rsidR="00457B04">
        <w:t>ubiegłego</w:t>
      </w:r>
      <w:r w:rsidR="00D36C26">
        <w:t xml:space="preserve"> roku. </w:t>
      </w:r>
      <w:r w:rsidR="00140A0C">
        <w:t xml:space="preserve"> Wydaje się, że dotychczasowa </w:t>
      </w:r>
      <w:r w:rsidR="00140A0C">
        <w:lastRenderedPageBreak/>
        <w:t xml:space="preserve">deflacja nie miała negatywnego wpływu na </w:t>
      </w:r>
      <w:r w:rsidR="003F798C">
        <w:t xml:space="preserve">wyniki </w:t>
      </w:r>
      <w:r w:rsidR="0060059E">
        <w:t xml:space="preserve">gospodarcze </w:t>
      </w:r>
      <w:r w:rsidR="00140A0C">
        <w:t xml:space="preserve">oraz że długookresowe oczekiwania </w:t>
      </w:r>
      <w:r w:rsidR="00283C45">
        <w:t>inflacyjne</w:t>
      </w:r>
      <w:r w:rsidR="00140A0C">
        <w:t xml:space="preserve"> pozostają w </w:t>
      </w:r>
      <w:r w:rsidR="0060059E">
        <w:t xml:space="preserve">dopuszczalnym </w:t>
      </w:r>
      <w:r w:rsidR="00140A0C">
        <w:t xml:space="preserve">paśmie wahań. Pomimo tego, </w:t>
      </w:r>
      <w:r w:rsidR="0060059E">
        <w:t>powracanie</w:t>
      </w:r>
      <w:r w:rsidR="003F798C">
        <w:t xml:space="preserve"> </w:t>
      </w:r>
      <w:r w:rsidR="00140A0C">
        <w:t xml:space="preserve">inflacji do zakładanego </w:t>
      </w:r>
      <w:r w:rsidR="0060059E">
        <w:t>celu</w:t>
      </w:r>
      <w:r w:rsidR="00283C45">
        <w:t xml:space="preserve"> </w:t>
      </w:r>
      <w:r w:rsidR="00140A0C">
        <w:t>jest ważn</w:t>
      </w:r>
      <w:r w:rsidR="0060059E">
        <w:t>y dla</w:t>
      </w:r>
      <w:r w:rsidR="00140A0C">
        <w:t xml:space="preserve"> zapewnienia, że </w:t>
      </w:r>
      <w:r w:rsidR="00032FA1">
        <w:t xml:space="preserve">oczekiwania inflacyjne </w:t>
      </w:r>
      <w:r w:rsidR="003F798C">
        <w:t>po</w:t>
      </w:r>
      <w:r w:rsidR="00032FA1">
        <w:t xml:space="preserve">zostaną zakotwiczone. Stąd, dalsze cięcia stóp procentowych </w:t>
      </w:r>
      <w:r w:rsidR="003F798C">
        <w:t>mogą być</w:t>
      </w:r>
      <w:r w:rsidR="00032FA1">
        <w:t xml:space="preserve"> potrzebne w przypadku nagłego spowolnienia gospodarczego albo </w:t>
      </w:r>
      <w:r w:rsidR="003F798C">
        <w:t xml:space="preserve">pojawienia się rozczarowujących danych dotyczących </w:t>
      </w:r>
      <w:r w:rsidR="00032FA1">
        <w:t>oczekiwa</w:t>
      </w:r>
      <w:r w:rsidR="003F798C">
        <w:t>ń</w:t>
      </w:r>
      <w:r w:rsidR="00032FA1">
        <w:t xml:space="preserve"> inflacyjn</w:t>
      </w:r>
      <w:r w:rsidR="003F798C">
        <w:t>ych</w:t>
      </w:r>
      <w:r w:rsidR="00032FA1">
        <w:t xml:space="preserve">. </w:t>
      </w:r>
    </w:p>
    <w:p w:rsidR="008471F8" w:rsidRPr="0074485D" w:rsidRDefault="00032FA1" w:rsidP="00D52F5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Pozycja fiskalna stała się procykliczna.</w:t>
      </w:r>
      <w:r>
        <w:t xml:space="preserve"> </w:t>
      </w:r>
      <w:r w:rsidR="00CB4BA4">
        <w:t>Oczekuje się, że</w:t>
      </w:r>
      <w:r>
        <w:t xml:space="preserve"> </w:t>
      </w:r>
      <w:r w:rsidR="00CB4BA4">
        <w:t xml:space="preserve">wdrażanie obietnic wyborczych </w:t>
      </w:r>
      <w:r w:rsidR="00CB4BA4">
        <w:br/>
      </w:r>
      <w:r w:rsidR="005F41EE">
        <w:t>spowoduje</w:t>
      </w:r>
      <w:r w:rsidR="005667D5">
        <w:t xml:space="preserve"> w 2016 r.</w:t>
      </w:r>
      <w:r w:rsidR="005F41EE">
        <w:t xml:space="preserve"> wzrost deficytu do około 2,8% PKB. Program Rodzina 500+,</w:t>
      </w:r>
      <w:r w:rsidR="003F798C">
        <w:t xml:space="preserve"> czyli</w:t>
      </w:r>
      <w:r w:rsidR="005F41EE">
        <w:t xml:space="preserve"> nowy system świadczeń socjalnych wspierający rodziny wprowadzony w kwietniu 2016 r. </w:t>
      </w:r>
      <w:r w:rsidR="00C70AC0">
        <w:t xml:space="preserve">będzie częściowo finansowany przez jednorazowe wpływy oraz </w:t>
      </w:r>
      <w:r w:rsidR="005D0988">
        <w:t xml:space="preserve">podatek </w:t>
      </w:r>
      <w:r w:rsidR="00C70AC0">
        <w:t>sektorowy od instytucji finan</w:t>
      </w:r>
      <w:r w:rsidR="001B4513">
        <w:t xml:space="preserve">sowych. </w:t>
      </w:r>
      <w:r w:rsidR="005667D5">
        <w:t>Przedmiotem dyskusji są p</w:t>
      </w:r>
      <w:r w:rsidR="001B4513">
        <w:t xml:space="preserve">lany </w:t>
      </w:r>
      <w:r w:rsidR="005667D5">
        <w:t xml:space="preserve">częściowego </w:t>
      </w:r>
      <w:r w:rsidR="003F798C">
        <w:t>cofn</w:t>
      </w:r>
      <w:r w:rsidR="005667D5">
        <w:t>ięcia</w:t>
      </w:r>
      <w:r w:rsidR="003F798C">
        <w:t xml:space="preserve"> przeprowadzone</w:t>
      </w:r>
      <w:r w:rsidR="005667D5">
        <w:t>go</w:t>
      </w:r>
      <w:r w:rsidR="003F798C">
        <w:t xml:space="preserve"> </w:t>
      </w:r>
      <w:r w:rsidR="00427D94">
        <w:br/>
      </w:r>
      <w:r w:rsidR="003F798C">
        <w:t>w 2013 r. podwyższeni</w:t>
      </w:r>
      <w:r w:rsidR="005667D5">
        <w:t>a</w:t>
      </w:r>
      <w:r w:rsidR="003F798C">
        <w:t xml:space="preserve"> wieku emerytalnego</w:t>
      </w:r>
      <w:r w:rsidR="00134764">
        <w:t xml:space="preserve"> oraz </w:t>
      </w:r>
      <w:r w:rsidR="003F798C">
        <w:t>podwyższ</w:t>
      </w:r>
      <w:r w:rsidR="005667D5">
        <w:t>enia</w:t>
      </w:r>
      <w:r w:rsidR="003F798C">
        <w:t xml:space="preserve"> kwot</w:t>
      </w:r>
      <w:r w:rsidR="005667D5">
        <w:t>y</w:t>
      </w:r>
      <w:r w:rsidR="003F798C">
        <w:t xml:space="preserve"> </w:t>
      </w:r>
      <w:r w:rsidR="00134764">
        <w:t>wolne</w:t>
      </w:r>
      <w:r w:rsidR="005667D5">
        <w:t>j</w:t>
      </w:r>
      <w:r w:rsidR="00134764">
        <w:t xml:space="preserve"> od podatku dochodowego</w:t>
      </w:r>
      <w:r w:rsidR="005667D5">
        <w:t>.</w:t>
      </w:r>
      <w:r w:rsidR="00134764">
        <w:t xml:space="preserve"> </w:t>
      </w:r>
      <w:r w:rsidR="001B4513">
        <w:t xml:space="preserve">W zależności od ostatecznego </w:t>
      </w:r>
      <w:r w:rsidR="003F798C">
        <w:t xml:space="preserve">kształtu projektów </w:t>
      </w:r>
      <w:r w:rsidR="001B4513">
        <w:t xml:space="preserve">i </w:t>
      </w:r>
      <w:r w:rsidR="0060059E">
        <w:t xml:space="preserve">ich </w:t>
      </w:r>
      <w:r w:rsidR="001B4513">
        <w:t xml:space="preserve">implementacji oraz </w:t>
      </w:r>
      <w:r w:rsidR="00427D94">
        <w:br/>
      </w:r>
      <w:r w:rsidR="001B4513">
        <w:t>w</w:t>
      </w:r>
      <w:r w:rsidR="00134764">
        <w:t xml:space="preserve"> obliczu braku nowych środków </w:t>
      </w:r>
      <w:r w:rsidR="00283C45">
        <w:t>kompensujących</w:t>
      </w:r>
      <w:r w:rsidR="00134764">
        <w:t xml:space="preserve">, powyższe działania mogą spowodować wzrost deficytu znacząco powyżej 3% PKB już w 2017 r. – w czasie kiedy </w:t>
      </w:r>
      <w:r w:rsidR="0060059E">
        <w:t xml:space="preserve">gospodarka rozwija się </w:t>
      </w:r>
      <w:r w:rsidR="00134764">
        <w:t xml:space="preserve"> powyżej </w:t>
      </w:r>
      <w:r w:rsidR="00A20444">
        <w:t>potencja</w:t>
      </w:r>
      <w:r w:rsidR="0060059E">
        <w:t>łu</w:t>
      </w:r>
      <w:r w:rsidR="00A20444">
        <w:t xml:space="preserve"> </w:t>
      </w:r>
      <w:r w:rsidR="00134764">
        <w:t xml:space="preserve">- </w:t>
      </w:r>
      <w:r w:rsidR="00A20444">
        <w:t xml:space="preserve">przekraczając </w:t>
      </w:r>
      <w:r w:rsidR="001B4513">
        <w:t xml:space="preserve">wartość graniczną </w:t>
      </w:r>
      <w:r w:rsidR="0074485D">
        <w:t>P</w:t>
      </w:r>
      <w:r w:rsidR="001B4513">
        <w:t>rocedury Nadmiernego Deficytu (</w:t>
      </w:r>
      <w:r w:rsidR="0074485D" w:rsidRPr="0074485D">
        <w:rPr>
          <w:i/>
        </w:rPr>
        <w:t xml:space="preserve">Excessive </w:t>
      </w:r>
      <w:r w:rsidR="00134764" w:rsidRPr="0074485D">
        <w:rPr>
          <w:i/>
        </w:rPr>
        <w:t xml:space="preserve"> </w:t>
      </w:r>
      <w:r w:rsidR="0074485D" w:rsidRPr="0074485D">
        <w:rPr>
          <w:i/>
        </w:rPr>
        <w:t>Deficit Procedure</w:t>
      </w:r>
      <w:r w:rsidR="0074485D">
        <w:t xml:space="preserve">, EDP) oraz podważając zaufanie inwestorów. </w:t>
      </w:r>
      <w:r w:rsidR="00617E6D">
        <w:t xml:space="preserve">Podczas, gdy </w:t>
      </w:r>
      <w:r w:rsidR="00A20444">
        <w:t>w</w:t>
      </w:r>
      <w:r w:rsidR="0074485D">
        <w:t>ładze planują rozpocząć redukcję deficytu od 2018 r. w tempie około ¾ % PKB rocznie, oznacza</w:t>
      </w:r>
      <w:r w:rsidR="00A20444">
        <w:t>łoby</w:t>
      </w:r>
      <w:r w:rsidR="0074485D">
        <w:t xml:space="preserve"> </w:t>
      </w:r>
      <w:r w:rsidR="00A20444">
        <w:t xml:space="preserve">to </w:t>
      </w:r>
      <w:r w:rsidR="0074485D">
        <w:t xml:space="preserve">kontynuowanie procyklicznej polityki fiskalnej w tym roku i następnym. </w:t>
      </w:r>
    </w:p>
    <w:p w:rsidR="0074485D" w:rsidRDefault="0074485D" w:rsidP="00D52F56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Polityka fiskalna powinna wykorzystać silny wzrost do </w:t>
      </w:r>
      <w:r w:rsidR="00A20444">
        <w:rPr>
          <w:b/>
        </w:rPr>
        <w:t xml:space="preserve">powrotu do </w:t>
      </w:r>
      <w:r>
        <w:rPr>
          <w:b/>
        </w:rPr>
        <w:t xml:space="preserve">konsolidacji już </w:t>
      </w:r>
      <w:r w:rsidR="00427D94">
        <w:rPr>
          <w:b/>
        </w:rPr>
        <w:br/>
      </w:r>
      <w:r>
        <w:rPr>
          <w:b/>
        </w:rPr>
        <w:t>w 2017</w:t>
      </w:r>
      <w:r w:rsidR="00427D94">
        <w:rPr>
          <w:b/>
        </w:rPr>
        <w:t xml:space="preserve"> </w:t>
      </w:r>
      <w:r>
        <w:rPr>
          <w:b/>
        </w:rPr>
        <w:t xml:space="preserve">r. </w:t>
      </w:r>
      <w:r w:rsidRPr="0074485D">
        <w:t xml:space="preserve">Redukcja deficytu </w:t>
      </w:r>
      <w:r w:rsidR="00FF7FC9">
        <w:t>powinna być wzm</w:t>
      </w:r>
      <w:r w:rsidR="00D52F56">
        <w:t>o</w:t>
      </w:r>
      <w:r w:rsidR="00FF7FC9">
        <w:t>cni</w:t>
      </w:r>
      <w:r w:rsidR="00A20444">
        <w:t>o</w:t>
      </w:r>
      <w:r w:rsidR="00FF7FC9">
        <w:t>na przez wiarygodne środki</w:t>
      </w:r>
      <w:r w:rsidR="00A20444">
        <w:t xml:space="preserve"> </w:t>
      </w:r>
      <w:r w:rsidR="00FF7FC9">
        <w:t>prorozwojowe i ukierunkowan</w:t>
      </w:r>
      <w:r w:rsidR="00617E6D">
        <w:t>a</w:t>
      </w:r>
      <w:r w:rsidR="00FF7FC9">
        <w:t xml:space="preserve"> na osiągniecie rządowego średniookresowego celu deficytu strukturalnego w wysokości 1% PKB do 2020 r. Takie </w:t>
      </w:r>
      <w:r w:rsidR="005D0988">
        <w:t xml:space="preserve">działania </w:t>
      </w:r>
      <w:r w:rsidR="00A20444">
        <w:t>pomogłyby</w:t>
      </w:r>
      <w:r w:rsidR="005D0988">
        <w:t xml:space="preserve"> </w:t>
      </w:r>
      <w:r w:rsidR="00A20444">
        <w:t xml:space="preserve">wzmocnić </w:t>
      </w:r>
      <w:r w:rsidR="005D0988">
        <w:t xml:space="preserve">zaufanie </w:t>
      </w:r>
      <w:r w:rsidR="00A20444">
        <w:t xml:space="preserve">ze strony </w:t>
      </w:r>
      <w:r w:rsidR="005D0988">
        <w:t xml:space="preserve">rynków oraz utrzymać finansowanie </w:t>
      </w:r>
      <w:r w:rsidR="00A20444">
        <w:t xml:space="preserve">budżetu </w:t>
      </w:r>
      <w:r w:rsidR="005D0988">
        <w:t xml:space="preserve">na korzystnych warunkach. </w:t>
      </w:r>
      <w:r w:rsidR="00A20444">
        <w:t>Wywołujący zniekształcenia</w:t>
      </w:r>
      <w:r w:rsidR="00A20444" w:rsidRPr="005D0988">
        <w:t xml:space="preserve"> </w:t>
      </w:r>
      <w:r w:rsidR="005D0988" w:rsidRPr="005D0988">
        <w:t>podatek</w:t>
      </w:r>
      <w:r w:rsidR="005D0988">
        <w:t xml:space="preserve"> </w:t>
      </w:r>
      <w:r w:rsidR="005D0988" w:rsidRPr="005D0988">
        <w:t>od instytucji finansowych</w:t>
      </w:r>
      <w:r w:rsidR="001B4513">
        <w:t xml:space="preserve"> może</w:t>
      </w:r>
      <w:r w:rsidR="00283C45">
        <w:t xml:space="preserve"> spowodować redukcję</w:t>
      </w:r>
      <w:r w:rsidR="001B4513">
        <w:t xml:space="preserve"> podaż</w:t>
      </w:r>
      <w:r w:rsidR="00283C45">
        <w:t>y</w:t>
      </w:r>
      <w:r w:rsidR="001B4513">
        <w:t xml:space="preserve"> kredytów</w:t>
      </w:r>
      <w:r w:rsidR="005D0988">
        <w:t xml:space="preserve"> oraz zwiększyć zagrożenia finansowe i powinien być zastąpiony przez bardziej </w:t>
      </w:r>
      <w:r w:rsidR="00A20444">
        <w:t>przyjazny dla wzrostu</w:t>
      </w:r>
      <w:r w:rsidR="00283C45">
        <w:t xml:space="preserve"> gospodarczego</w:t>
      </w:r>
      <w:r w:rsidR="005D0988">
        <w:t xml:space="preserve"> podatek od zysków</w:t>
      </w:r>
      <w:r w:rsidR="00A20444">
        <w:t xml:space="preserve"> </w:t>
      </w:r>
      <w:r w:rsidR="005D0988">
        <w:t>i wynagrodzeń. Ponadto,</w:t>
      </w:r>
      <w:r w:rsidR="0051101E">
        <w:t xml:space="preserve"> </w:t>
      </w:r>
      <w:r w:rsidR="00427D94">
        <w:br/>
      </w:r>
      <w:r w:rsidR="0051101E">
        <w:t xml:space="preserve">w </w:t>
      </w:r>
      <w:r w:rsidR="003F37A8">
        <w:t xml:space="preserve">najbliższej przyszłości, </w:t>
      </w:r>
      <w:r w:rsidR="0051101E">
        <w:t>obecna stawka podatku VAT powinna zostać utrzymana również po roku 2017</w:t>
      </w:r>
      <w:r w:rsidR="00EB33D8">
        <w:t>,</w:t>
      </w:r>
      <w:r w:rsidR="0051101E">
        <w:t xml:space="preserve"> a </w:t>
      </w:r>
      <w:r w:rsidR="003F37A8">
        <w:t xml:space="preserve">elastyczne wydatki na </w:t>
      </w:r>
      <w:r w:rsidR="0051101E">
        <w:t>konsumpcj</w:t>
      </w:r>
      <w:r w:rsidR="003F37A8">
        <w:t>ę</w:t>
      </w:r>
      <w:r w:rsidR="0051101E">
        <w:t xml:space="preserve"> </w:t>
      </w:r>
      <w:r w:rsidR="003F37A8">
        <w:t>publiczną</w:t>
      </w:r>
      <w:r w:rsidR="0051101E">
        <w:t xml:space="preserve"> zracjonalizowan</w:t>
      </w:r>
      <w:r w:rsidR="003F37A8">
        <w:t>e</w:t>
      </w:r>
      <w:r w:rsidR="00EB33D8">
        <w:t>, korzystając</w:t>
      </w:r>
      <w:r w:rsidR="0051101E">
        <w:t xml:space="preserve"> </w:t>
      </w:r>
      <w:r w:rsidR="00427D94">
        <w:br/>
      </w:r>
      <w:r w:rsidR="00EB33D8">
        <w:t xml:space="preserve">z </w:t>
      </w:r>
      <w:r w:rsidR="0051101E">
        <w:t>trwając</w:t>
      </w:r>
      <w:r w:rsidR="00EB33D8">
        <w:t>ego</w:t>
      </w:r>
      <w:r w:rsidR="0051101E">
        <w:t xml:space="preserve"> obecnie przegląd</w:t>
      </w:r>
      <w:r w:rsidR="00EB33D8">
        <w:t>u</w:t>
      </w:r>
      <w:r w:rsidR="0051101E">
        <w:t xml:space="preserve"> wydatków. </w:t>
      </w:r>
      <w:r w:rsidR="003F37A8">
        <w:t>Ś</w:t>
      </w:r>
      <w:r w:rsidR="0051101E">
        <w:t>redni</w:t>
      </w:r>
      <w:r w:rsidR="003F37A8">
        <w:t>oterminowo</w:t>
      </w:r>
      <w:r w:rsidR="00283C45">
        <w:t xml:space="preserve"> </w:t>
      </w:r>
      <w:r w:rsidR="00EB33D8">
        <w:t>rozważyć należy</w:t>
      </w:r>
      <w:r w:rsidR="0051101E">
        <w:t xml:space="preserve"> ujednolic</w:t>
      </w:r>
      <w:r w:rsidR="003F37A8">
        <w:t>a</w:t>
      </w:r>
      <w:r w:rsidR="0051101E">
        <w:t xml:space="preserve">nie </w:t>
      </w:r>
      <w:r w:rsidR="005107D4">
        <w:t xml:space="preserve">stawek </w:t>
      </w:r>
      <w:r w:rsidR="00EB33D8">
        <w:t>VAT</w:t>
      </w:r>
      <w:r w:rsidR="0051101E">
        <w:t xml:space="preserve"> oraz stopniowe znos</w:t>
      </w:r>
      <w:r w:rsidR="00D52F56">
        <w:t>z</w:t>
      </w:r>
      <w:r w:rsidR="0051101E">
        <w:t xml:space="preserve">enie preferencyjnego systemu emerytalnego dla rolników </w:t>
      </w:r>
      <w:r w:rsidR="00427D94">
        <w:br/>
      </w:r>
      <w:r w:rsidR="0051101E">
        <w:t xml:space="preserve">i górników. Misja </w:t>
      </w:r>
      <w:r w:rsidR="00617E6D">
        <w:t xml:space="preserve">MFW </w:t>
      </w:r>
      <w:r w:rsidR="0051101E">
        <w:t>z zadowoleniem przyjmuje wysiłki władz mające na celu wzmocnienie administracji podatkowej</w:t>
      </w:r>
      <w:r w:rsidR="005107D4">
        <w:t>,</w:t>
      </w:r>
      <w:r w:rsidR="0051101E">
        <w:t xml:space="preserve"> </w:t>
      </w:r>
      <w:r w:rsidR="00EB33D8">
        <w:t xml:space="preserve">lecz </w:t>
      </w:r>
      <w:r w:rsidR="0051101E">
        <w:t xml:space="preserve">jakiekolwiek przychody </w:t>
      </w:r>
      <w:r w:rsidR="00DB5D1F">
        <w:t xml:space="preserve">z tytułu </w:t>
      </w:r>
      <w:r w:rsidR="0051101E">
        <w:t xml:space="preserve">tych reform powinny być </w:t>
      </w:r>
      <w:r w:rsidR="00EB33D8">
        <w:t>uwzględniane w budżecie w sposób konserwatywny</w:t>
      </w:r>
      <w:r w:rsidR="0051101E">
        <w:t xml:space="preserve">, ponieważ </w:t>
      </w:r>
      <w:r w:rsidR="00EB33D8">
        <w:t xml:space="preserve">potrzebny jest </w:t>
      </w:r>
      <w:r w:rsidR="0051101E">
        <w:t xml:space="preserve">czas aby przyniosły one rezultaty. </w:t>
      </w:r>
    </w:p>
    <w:p w:rsidR="0051101E" w:rsidRDefault="001B4513" w:rsidP="00D52F56">
      <w:pPr>
        <w:pStyle w:val="Akapitzlist"/>
        <w:numPr>
          <w:ilvl w:val="0"/>
          <w:numId w:val="1"/>
        </w:numPr>
        <w:jc w:val="both"/>
      </w:pPr>
      <w:r>
        <w:rPr>
          <w:b/>
        </w:rPr>
        <w:t>P</w:t>
      </w:r>
      <w:r w:rsidR="00DB5D1F">
        <w:rPr>
          <w:b/>
        </w:rPr>
        <w:t xml:space="preserve">rzewidywane </w:t>
      </w:r>
      <w:r>
        <w:rPr>
          <w:b/>
        </w:rPr>
        <w:t xml:space="preserve">częściowe </w:t>
      </w:r>
      <w:r w:rsidR="00EB33D8">
        <w:rPr>
          <w:b/>
        </w:rPr>
        <w:t>cofnięcie</w:t>
      </w:r>
      <w:r w:rsidR="00EC2B0E">
        <w:rPr>
          <w:b/>
        </w:rPr>
        <w:t xml:space="preserve"> podniesienia wieku emerytalnego z 2013 r. może osłabić finanse publiczne </w:t>
      </w:r>
      <w:r w:rsidR="00DC5352">
        <w:rPr>
          <w:b/>
        </w:rPr>
        <w:t>oraz aktywność zawodową i</w:t>
      </w:r>
      <w:r w:rsidR="00EC2B0E">
        <w:rPr>
          <w:b/>
        </w:rPr>
        <w:t xml:space="preserve"> powinno być ponownie </w:t>
      </w:r>
      <w:r w:rsidR="00DC5352">
        <w:rPr>
          <w:b/>
        </w:rPr>
        <w:t>rozważone</w:t>
      </w:r>
      <w:r w:rsidR="00EC2B0E">
        <w:rPr>
          <w:b/>
        </w:rPr>
        <w:t xml:space="preserve">. </w:t>
      </w:r>
      <w:r w:rsidR="005107D4" w:rsidRPr="005107D4">
        <w:t xml:space="preserve">W warunkach </w:t>
      </w:r>
      <w:r w:rsidR="00EC2B0E">
        <w:t>szyb</w:t>
      </w:r>
      <w:r w:rsidR="005107D4">
        <w:t>ko starzejącego</w:t>
      </w:r>
      <w:r w:rsidR="00EC2B0E" w:rsidRPr="00EC2B0E">
        <w:t xml:space="preserve"> się społeczeńs</w:t>
      </w:r>
      <w:r w:rsidR="005107D4">
        <w:t>twa</w:t>
      </w:r>
      <w:r w:rsidR="009A0512">
        <w:t xml:space="preserve"> </w:t>
      </w:r>
      <w:r w:rsidR="00DB5D1F">
        <w:t xml:space="preserve">odchodzenie od </w:t>
      </w:r>
      <w:r w:rsidR="003F37A8">
        <w:t xml:space="preserve">obecnie przewidywanego </w:t>
      </w:r>
      <w:r w:rsidR="009A0512">
        <w:t>stopniowe</w:t>
      </w:r>
      <w:r w:rsidR="00DB5D1F">
        <w:t>go podwyższania</w:t>
      </w:r>
      <w:r w:rsidR="009A0512">
        <w:t xml:space="preserve"> wieku emerytalnego</w:t>
      </w:r>
      <w:r w:rsidR="00DB5D1F">
        <w:t>,</w:t>
      </w:r>
      <w:r w:rsidR="009A0512">
        <w:t xml:space="preserve"> </w:t>
      </w:r>
      <w:r w:rsidR="00DC5352">
        <w:t xml:space="preserve">byłoby </w:t>
      </w:r>
      <w:r w:rsidR="009A0512">
        <w:t>krokiem w złym kierunku. Takie przedsięwzięcie</w:t>
      </w:r>
      <w:r w:rsidR="00264AF3">
        <w:t xml:space="preserve">, bez skorygowania pozostałych parametrów </w:t>
      </w:r>
      <w:r w:rsidR="00F522D7">
        <w:t>regulacji</w:t>
      </w:r>
      <w:r>
        <w:t>,</w:t>
      </w:r>
      <w:r w:rsidR="009A0512">
        <w:t xml:space="preserve"> zredukuje </w:t>
      </w:r>
      <w:r w:rsidR="009C4C14">
        <w:t xml:space="preserve">stopę </w:t>
      </w:r>
      <w:r w:rsidR="00DC5352">
        <w:t>zastąpienia</w:t>
      </w:r>
      <w:r w:rsidR="009C4C14">
        <w:t xml:space="preserve">, </w:t>
      </w:r>
      <w:r w:rsidR="0077200B">
        <w:t>zwiększ</w:t>
      </w:r>
      <w:r w:rsidR="00DC5352">
        <w:t>ając</w:t>
      </w:r>
      <w:r w:rsidR="0077200B">
        <w:t xml:space="preserve"> ryzyko pauperyzacji osób w podeszłym wieku oraz </w:t>
      </w:r>
      <w:r w:rsidR="00DC5352">
        <w:t xml:space="preserve">związanej z tym </w:t>
      </w:r>
      <w:r w:rsidR="0077200B">
        <w:t>większe</w:t>
      </w:r>
      <w:r w:rsidR="00DC5352">
        <w:t>j</w:t>
      </w:r>
      <w:r w:rsidR="0077200B">
        <w:t xml:space="preserve"> zależnoś</w:t>
      </w:r>
      <w:r w:rsidR="00DC5352">
        <w:t>ci</w:t>
      </w:r>
      <w:r w:rsidR="0077200B">
        <w:t xml:space="preserve"> od świadczeń socjalnych, co będzie miało negatywny wpływ na budżet. Ponadto, </w:t>
      </w:r>
      <w:r w:rsidR="00DC5352">
        <w:t>osłabiłoby to aktywność zawodową</w:t>
      </w:r>
      <w:r w:rsidR="0077200B">
        <w:t xml:space="preserve"> w </w:t>
      </w:r>
      <w:r w:rsidR="00DC5352">
        <w:t>momencie</w:t>
      </w:r>
      <w:r w:rsidR="00DB5D1F">
        <w:t>,</w:t>
      </w:r>
      <w:r w:rsidR="00DC5352">
        <w:t xml:space="preserve"> </w:t>
      </w:r>
      <w:r w:rsidR="0077200B">
        <w:t>kiedy wzrost potencjalny</w:t>
      </w:r>
      <w:r w:rsidR="00DC5352">
        <w:t xml:space="preserve"> już</w:t>
      </w:r>
      <w:r w:rsidR="0077200B">
        <w:t xml:space="preserve"> jest zagrożony niekorzystnymi trendami demograficznymi. </w:t>
      </w:r>
    </w:p>
    <w:p w:rsidR="0077200B" w:rsidRDefault="0077200B" w:rsidP="00D52F56">
      <w:pPr>
        <w:pStyle w:val="Akapitzlist"/>
        <w:numPr>
          <w:ilvl w:val="0"/>
          <w:numId w:val="1"/>
        </w:numPr>
        <w:jc w:val="both"/>
      </w:pPr>
      <w:r>
        <w:rPr>
          <w:b/>
        </w:rPr>
        <w:lastRenderedPageBreak/>
        <w:t xml:space="preserve">Utrzymanie stabilności sektora finansowego jest niezbędne. </w:t>
      </w:r>
      <w:r w:rsidRPr="0077200B">
        <w:t>Sektor bankowy</w:t>
      </w:r>
      <w:r>
        <w:rPr>
          <w:b/>
        </w:rPr>
        <w:t xml:space="preserve"> </w:t>
      </w:r>
      <w:r w:rsidRPr="0077200B">
        <w:t>pozostaje dobrze</w:t>
      </w:r>
      <w:r>
        <w:t xml:space="preserve"> dokapitalizowany choć rentowność zmniejszyła się z powodu długo utrzymujących się </w:t>
      </w:r>
      <w:r w:rsidR="003C00D7">
        <w:t xml:space="preserve">niskich stóp procentowych i wyższych kosztów regulacyjnych. </w:t>
      </w:r>
      <w:r w:rsidR="00DB5D1F">
        <w:t>Ś</w:t>
      </w:r>
      <w:r w:rsidR="00264AF3">
        <w:t>rodowisk</w:t>
      </w:r>
      <w:r w:rsidR="00DB5D1F">
        <w:t>o</w:t>
      </w:r>
      <w:r w:rsidR="00264AF3">
        <w:t xml:space="preserve"> </w:t>
      </w:r>
      <w:r w:rsidR="0089191B">
        <w:t xml:space="preserve">niskich </w:t>
      </w:r>
      <w:r w:rsidR="00264AF3">
        <w:t>st</w:t>
      </w:r>
      <w:r w:rsidR="0089191B">
        <w:t>ó</w:t>
      </w:r>
      <w:r w:rsidR="00264AF3">
        <w:t xml:space="preserve">p procentowych stwarza ryzyko </w:t>
      </w:r>
      <w:r w:rsidR="0089191B">
        <w:t xml:space="preserve">przesunięcia </w:t>
      </w:r>
      <w:r w:rsidR="00264AF3">
        <w:t xml:space="preserve">działalności pożyczkowej do mniej regulowanego sektora </w:t>
      </w:r>
      <w:r w:rsidR="00DB5D1F">
        <w:t>nie-</w:t>
      </w:r>
      <w:r w:rsidR="00264AF3">
        <w:t xml:space="preserve">bankowego. W tym kontekście, ostatnie regulacje dotyczące instytucji nie-bankowych, które </w:t>
      </w:r>
      <w:r w:rsidR="0089191B">
        <w:t xml:space="preserve">nałożyły ograniczenie na </w:t>
      </w:r>
      <w:r w:rsidR="00264AF3">
        <w:t xml:space="preserve">pozaodsetkowe koszty pożyczek oraz ograniczyły praktykę </w:t>
      </w:r>
      <w:r w:rsidR="0025145F">
        <w:t>rolowania</w:t>
      </w:r>
      <w:r w:rsidR="00DB5D1F">
        <w:t xml:space="preserve"> </w:t>
      </w:r>
      <w:r w:rsidR="00264AF3">
        <w:t xml:space="preserve">kredytów, </w:t>
      </w:r>
      <w:r w:rsidR="0089191B">
        <w:t xml:space="preserve">należy postrzegać </w:t>
      </w:r>
      <w:r w:rsidR="00264AF3">
        <w:t>jako korzystne</w:t>
      </w:r>
      <w:r w:rsidR="0089191B">
        <w:t xml:space="preserve"> </w:t>
      </w:r>
      <w:r w:rsidR="00264AF3">
        <w:t xml:space="preserve">i powinny </w:t>
      </w:r>
      <w:r w:rsidR="0089191B">
        <w:t xml:space="preserve">one </w:t>
      </w:r>
      <w:r w:rsidR="00264AF3">
        <w:t xml:space="preserve">przeciwdziałać powstawaniu nowych zagrożeń. </w:t>
      </w:r>
      <w:r w:rsidR="0089191B">
        <w:t>P</w:t>
      </w:r>
      <w:r w:rsidR="00264AF3">
        <w:t xml:space="preserve">ropozycje dotyczące powszechnej konwersji kredytów hipotecznych zaciągniętych we frankach szwajcarskich na </w:t>
      </w:r>
      <w:r w:rsidR="005107D4">
        <w:t xml:space="preserve">kredyty w </w:t>
      </w:r>
      <w:r w:rsidR="00264AF3">
        <w:t>złoty</w:t>
      </w:r>
      <w:r w:rsidR="005107D4">
        <w:t>ch</w:t>
      </w:r>
      <w:r w:rsidR="00264AF3">
        <w:t xml:space="preserve">, </w:t>
      </w:r>
      <w:r w:rsidR="0089191B">
        <w:t>w przypadku</w:t>
      </w:r>
      <w:r w:rsidR="00283C45">
        <w:t xml:space="preserve"> ich</w:t>
      </w:r>
      <w:r w:rsidR="00264AF3">
        <w:t xml:space="preserve"> </w:t>
      </w:r>
      <w:r w:rsidR="0089191B">
        <w:t>wdrożenia</w:t>
      </w:r>
      <w:r w:rsidR="00264AF3">
        <w:t xml:space="preserve">, </w:t>
      </w:r>
      <w:r w:rsidR="0089191B">
        <w:t>grożą</w:t>
      </w:r>
      <w:r w:rsidR="00264AF3">
        <w:t xml:space="preserve"> osłabieni</w:t>
      </w:r>
      <w:r w:rsidR="0089191B">
        <w:t>em</w:t>
      </w:r>
      <w:r w:rsidR="00264AF3">
        <w:t xml:space="preserve"> </w:t>
      </w:r>
      <w:r w:rsidR="00F522D7">
        <w:t>stabilności finansowej, z</w:t>
      </w:r>
      <w:r w:rsidR="005107D4">
        <w:t> </w:t>
      </w:r>
      <w:r w:rsidR="00F522D7">
        <w:t>negatywnymi implikacjami dla akcji kredytowej i wzrostu. Zamiast</w:t>
      </w:r>
      <w:r w:rsidR="005A2EE6">
        <w:t xml:space="preserve"> tego</w:t>
      </w:r>
      <w:r w:rsidR="00F522D7">
        <w:t xml:space="preserve"> uwaga powinna </w:t>
      </w:r>
      <w:r w:rsidR="005A2EE6">
        <w:t xml:space="preserve">zostać </w:t>
      </w:r>
      <w:r w:rsidR="00F522D7">
        <w:t xml:space="preserve">skierowana na wspieranie </w:t>
      </w:r>
      <w:r w:rsidR="005A2EE6">
        <w:t xml:space="preserve">będących w trudnej sytuacji finansowej </w:t>
      </w:r>
      <w:r w:rsidR="005107D4">
        <w:t>posiadaczy</w:t>
      </w:r>
      <w:r w:rsidR="00431DC5">
        <w:t xml:space="preserve"> kredytów hipotecznych oparte </w:t>
      </w:r>
      <w:r w:rsidR="00F522D7">
        <w:t xml:space="preserve">na zasadzie </w:t>
      </w:r>
      <w:r w:rsidR="005107D4">
        <w:t xml:space="preserve">indywidualnego rozpatrywania każdego </w:t>
      </w:r>
      <w:r w:rsidR="00F522D7">
        <w:t>przypadku. Regulacje dotyczące</w:t>
      </w:r>
      <w:r w:rsidR="002569DF">
        <w:t xml:space="preserve"> mechanizmu</w:t>
      </w:r>
      <w:r w:rsidR="00F522D7">
        <w:t xml:space="preserve"> </w:t>
      </w:r>
      <w:r w:rsidR="002569DF">
        <w:t>restrukturyzacji i uporządkowanej</w:t>
      </w:r>
      <w:r w:rsidR="00F522D7">
        <w:t xml:space="preserve"> likwidacji banków powinny zostać </w:t>
      </w:r>
      <w:r w:rsidR="00431DC5">
        <w:t xml:space="preserve">niezwłocznie </w:t>
      </w:r>
      <w:r w:rsidR="00F522D7">
        <w:t>wdrożone</w:t>
      </w:r>
      <w:r w:rsidR="00431DC5">
        <w:t>,</w:t>
      </w:r>
      <w:r w:rsidR="00F522D7">
        <w:t xml:space="preserve"> aby zapewnić dostępność najbardziej </w:t>
      </w:r>
      <w:r w:rsidR="0025145F">
        <w:t xml:space="preserve">nowoczesnych rozwiązań </w:t>
      </w:r>
      <w:r w:rsidR="00427D94">
        <w:br/>
      </w:r>
      <w:r w:rsidR="005A2EE6">
        <w:t>w tym obszarze</w:t>
      </w:r>
      <w:r w:rsidR="00F522D7">
        <w:t xml:space="preserve">. </w:t>
      </w:r>
    </w:p>
    <w:p w:rsidR="005A2EE6" w:rsidRPr="005A2EE6" w:rsidRDefault="005A2EE6" w:rsidP="00D52F56">
      <w:pPr>
        <w:pStyle w:val="Akapitzlist"/>
        <w:numPr>
          <w:ilvl w:val="0"/>
          <w:numId w:val="1"/>
        </w:numPr>
        <w:jc w:val="both"/>
      </w:pPr>
      <w:r w:rsidRPr="005A2EE6">
        <w:rPr>
          <w:b/>
          <w:bCs/>
        </w:rPr>
        <w:t xml:space="preserve">Reformy strukturalne powinny być skoncentrowane na wyzwaniach demograficznych oraz redukcji nierówności regionalnych. </w:t>
      </w:r>
      <w:r w:rsidRPr="00283C45">
        <w:rPr>
          <w:bCs/>
        </w:rPr>
        <w:t>Problem</w:t>
      </w:r>
      <w:r>
        <w:rPr>
          <w:b/>
          <w:bCs/>
        </w:rPr>
        <w:t xml:space="preserve"> </w:t>
      </w:r>
      <w:r>
        <w:t>p</w:t>
      </w:r>
      <w:r w:rsidRPr="005A2EE6">
        <w:t>resj</w:t>
      </w:r>
      <w:r>
        <w:t>i</w:t>
      </w:r>
      <w:r w:rsidRPr="005A2EE6">
        <w:t xml:space="preserve"> związan</w:t>
      </w:r>
      <w:r>
        <w:t>ej</w:t>
      </w:r>
      <w:r w:rsidRPr="005A2EE6">
        <w:t xml:space="preserve"> z</w:t>
      </w:r>
      <w:r>
        <w:t>e</w:t>
      </w:r>
      <w:r w:rsidRPr="005A2EE6">
        <w:t xml:space="preserve"> starzeniem się społeczeństwa </w:t>
      </w:r>
      <w:r>
        <w:t>może</w:t>
      </w:r>
      <w:r w:rsidRPr="005A2EE6">
        <w:t xml:space="preserve"> zostać rozwiązan</w:t>
      </w:r>
      <w:r>
        <w:t>y</w:t>
      </w:r>
      <w:r w:rsidRPr="005A2EE6">
        <w:t xml:space="preserve"> poprzez zwiększenie </w:t>
      </w:r>
      <w:r>
        <w:t>aktywności zawodowej</w:t>
      </w:r>
      <w:r w:rsidRPr="005A2EE6">
        <w:t xml:space="preserve">, zwłaszcza kobiet oraz osób starszych, oraz </w:t>
      </w:r>
      <w:r w:rsidR="00431DC5">
        <w:t>poprzez</w:t>
      </w:r>
      <w:r w:rsidR="00D52F56">
        <w:t xml:space="preserve"> </w:t>
      </w:r>
      <w:r>
        <w:t>podniesienie</w:t>
      </w:r>
      <w:r w:rsidRPr="005A2EE6">
        <w:t xml:space="preserve"> produktywności. Pod tym względem, misja z zadowoleniem przyjmuje </w:t>
      </w:r>
      <w:r>
        <w:t>intencje</w:t>
      </w:r>
      <w:r w:rsidRPr="005A2EE6">
        <w:t xml:space="preserve"> władz</w:t>
      </w:r>
      <w:r w:rsidR="00283C45">
        <w:t>,</w:t>
      </w:r>
      <w:r w:rsidRPr="005A2EE6">
        <w:t xml:space="preserve"> </w:t>
      </w:r>
      <w:r>
        <w:t xml:space="preserve">aby przesuwać się w górę </w:t>
      </w:r>
      <w:r w:rsidR="00427D94">
        <w:br/>
      </w:r>
      <w:r>
        <w:t xml:space="preserve">w </w:t>
      </w:r>
      <w:r w:rsidRPr="005A2EE6">
        <w:t>łańcuch</w:t>
      </w:r>
      <w:r>
        <w:t>u</w:t>
      </w:r>
      <w:r w:rsidRPr="005A2EE6">
        <w:t xml:space="preserve"> wartości dodanej poprzez zwiększenie dostępu do szkoleń zawodowych oraz promo</w:t>
      </w:r>
      <w:r>
        <w:t>wanie</w:t>
      </w:r>
      <w:r w:rsidRPr="005A2EE6">
        <w:t xml:space="preserve"> innowacji. Przekierowanie </w:t>
      </w:r>
      <w:r w:rsidR="0025145F">
        <w:t>pieniężnych</w:t>
      </w:r>
      <w:r w:rsidRPr="005A2EE6">
        <w:t xml:space="preserve"> świadczeń rodzinnych na opiekę </w:t>
      </w:r>
      <w:r w:rsidR="00427D94">
        <w:br/>
      </w:r>
      <w:r w:rsidRPr="005A2EE6">
        <w:t xml:space="preserve">i edukację  przedszkolną </w:t>
      </w:r>
      <w:r w:rsidR="00284E74">
        <w:t>pozytywnie wpłynęłoby na aktywność zawodową kobiet</w:t>
      </w:r>
      <w:r w:rsidRPr="005A2EE6">
        <w:t xml:space="preserve">. Utrzymanie </w:t>
      </w:r>
      <w:r w:rsidR="00284E74">
        <w:t xml:space="preserve">przewidzianego reformą z 2013 r. </w:t>
      </w:r>
      <w:r w:rsidR="00431DC5">
        <w:t xml:space="preserve">podwyższenia </w:t>
      </w:r>
      <w:r w:rsidR="00284E74">
        <w:t xml:space="preserve">wieku emerytalnego </w:t>
      </w:r>
      <w:r w:rsidR="00283C45">
        <w:t>–</w:t>
      </w:r>
      <w:r w:rsidRPr="005A2EE6">
        <w:t xml:space="preserve"> sprzyjało</w:t>
      </w:r>
      <w:r w:rsidR="00284E74">
        <w:t>by</w:t>
      </w:r>
      <w:r w:rsidRPr="005A2EE6">
        <w:t xml:space="preserve"> </w:t>
      </w:r>
      <w:r w:rsidR="00284E74">
        <w:t>aktywności</w:t>
      </w:r>
      <w:r w:rsidR="00284E74" w:rsidRPr="005A2EE6">
        <w:t xml:space="preserve"> </w:t>
      </w:r>
      <w:r w:rsidRPr="005A2EE6">
        <w:t xml:space="preserve">osób starszych. </w:t>
      </w:r>
      <w:r w:rsidR="00284E74">
        <w:t xml:space="preserve">Zmniejszenie </w:t>
      </w:r>
      <w:r w:rsidRPr="005A2EE6">
        <w:t>nierówności regionalnych promowało</w:t>
      </w:r>
      <w:r w:rsidR="00284E74">
        <w:t>by</w:t>
      </w:r>
      <w:r w:rsidRPr="005A2EE6">
        <w:t xml:space="preserve"> </w:t>
      </w:r>
      <w:r w:rsidR="0025145F">
        <w:t xml:space="preserve">sprzyjający włączeniu społecznemu </w:t>
      </w:r>
      <w:r w:rsidR="0025145F" w:rsidRPr="005A2EE6">
        <w:t xml:space="preserve">wzrost </w:t>
      </w:r>
      <w:r w:rsidRPr="005A2EE6">
        <w:t>i przyspieszy</w:t>
      </w:r>
      <w:r w:rsidR="00284E74">
        <w:t>łoby</w:t>
      </w:r>
      <w:r w:rsidRPr="005A2EE6">
        <w:t xml:space="preserve"> proces konwergencji.  </w:t>
      </w:r>
      <w:r w:rsidR="00284E74">
        <w:t>W</w:t>
      </w:r>
      <w:r w:rsidRPr="005A2EE6">
        <w:t>ymagało</w:t>
      </w:r>
      <w:r w:rsidR="00284E74">
        <w:t>by</w:t>
      </w:r>
      <w:r w:rsidRPr="005A2EE6">
        <w:t xml:space="preserve"> </w:t>
      </w:r>
      <w:r w:rsidR="00284E74">
        <w:t>to poprawy kształcenia we</w:t>
      </w:r>
      <w:r w:rsidRPr="005A2EE6">
        <w:t xml:space="preserve"> </w:t>
      </w:r>
      <w:r w:rsidR="00284E74">
        <w:t>w</w:t>
      </w:r>
      <w:r w:rsidRPr="005A2EE6">
        <w:t>schod</w:t>
      </w:r>
      <w:r w:rsidR="00284E74">
        <w:t>niej części kraju</w:t>
      </w:r>
      <w:r w:rsidRPr="005A2EE6">
        <w:t>, redukcji niedopasowa</w:t>
      </w:r>
      <w:r w:rsidR="0025145F">
        <w:t xml:space="preserve">nia </w:t>
      </w:r>
      <w:r w:rsidRPr="005A2EE6">
        <w:t xml:space="preserve">umiejętności </w:t>
      </w:r>
      <w:r w:rsidR="0025145F">
        <w:t xml:space="preserve">do potrzeb rynku pracy </w:t>
      </w:r>
      <w:r w:rsidRPr="005A2EE6">
        <w:t>oraz inwestycji</w:t>
      </w:r>
      <w:r w:rsidR="00284E74">
        <w:t xml:space="preserve"> </w:t>
      </w:r>
      <w:r w:rsidRPr="005A2EE6">
        <w:t xml:space="preserve">w infrastrukturę w celu przyciągnięcia </w:t>
      </w:r>
      <w:r w:rsidR="00431DC5">
        <w:t xml:space="preserve">zagranicznych inwestycji bezpośrednich </w:t>
      </w:r>
      <w:r w:rsidRPr="005A2EE6">
        <w:t>do</w:t>
      </w:r>
      <w:r w:rsidR="00D52F56">
        <w:t xml:space="preserve"> </w:t>
      </w:r>
      <w:r w:rsidR="00284E74" w:rsidRPr="005A2EE6">
        <w:t>najbiedniejszych</w:t>
      </w:r>
      <w:r w:rsidRPr="005A2EE6">
        <w:t xml:space="preserve"> regionów. </w:t>
      </w:r>
      <w:bookmarkStart w:id="0" w:name="_GoBack"/>
      <w:bookmarkEnd w:id="0"/>
    </w:p>
    <w:p w:rsidR="00745F01" w:rsidRPr="0077200B" w:rsidRDefault="00745F01" w:rsidP="00D52F56">
      <w:pPr>
        <w:ind w:left="360"/>
        <w:jc w:val="both"/>
      </w:pPr>
      <w:r>
        <w:t xml:space="preserve">Misja MFW wyraża podziękowanie za konstruktywną dyskusję przedstawicielom władz RP oraz pozostałym rozmówcom. </w:t>
      </w:r>
    </w:p>
    <w:sectPr w:rsidR="00745F01" w:rsidRPr="0077200B" w:rsidSect="007F73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2C" w:rsidRDefault="00EE4A2C" w:rsidP="00032FA1">
      <w:pPr>
        <w:spacing w:after="0" w:line="240" w:lineRule="auto"/>
      </w:pPr>
      <w:r>
        <w:separator/>
      </w:r>
    </w:p>
  </w:endnote>
  <w:endnote w:type="continuationSeparator" w:id="0">
    <w:p w:rsidR="00EE4A2C" w:rsidRDefault="00EE4A2C" w:rsidP="0003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8376"/>
      <w:docPartObj>
        <w:docPartGallery w:val="Page Numbers (Bottom of Page)"/>
        <w:docPartUnique/>
      </w:docPartObj>
    </w:sdtPr>
    <w:sdtEndPr/>
    <w:sdtContent>
      <w:p w:rsidR="00032FA1" w:rsidRDefault="007F7340">
        <w:pPr>
          <w:pStyle w:val="Stopka"/>
          <w:jc w:val="right"/>
        </w:pPr>
        <w:r>
          <w:fldChar w:fldCharType="begin"/>
        </w:r>
        <w:r w:rsidR="00032FA1">
          <w:instrText>PAGE   \* MERGEFORMAT</w:instrText>
        </w:r>
        <w:r>
          <w:fldChar w:fldCharType="separate"/>
        </w:r>
        <w:r w:rsidR="006C62E0">
          <w:rPr>
            <w:noProof/>
          </w:rPr>
          <w:t>1</w:t>
        </w:r>
        <w:r>
          <w:fldChar w:fldCharType="end"/>
        </w:r>
      </w:p>
    </w:sdtContent>
  </w:sdt>
  <w:p w:rsidR="00032FA1" w:rsidRDefault="00032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2C" w:rsidRDefault="00EE4A2C" w:rsidP="00032FA1">
      <w:pPr>
        <w:spacing w:after="0" w:line="240" w:lineRule="auto"/>
      </w:pPr>
      <w:r>
        <w:separator/>
      </w:r>
    </w:p>
  </w:footnote>
  <w:footnote w:type="continuationSeparator" w:id="0">
    <w:p w:rsidR="00EE4A2C" w:rsidRDefault="00EE4A2C" w:rsidP="0003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001"/>
    <w:multiLevelType w:val="hybridMultilevel"/>
    <w:tmpl w:val="CB7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1"/>
    <w:rsid w:val="000247A0"/>
    <w:rsid w:val="00032FA1"/>
    <w:rsid w:val="00042A9A"/>
    <w:rsid w:val="00134764"/>
    <w:rsid w:val="00140A0C"/>
    <w:rsid w:val="001B4513"/>
    <w:rsid w:val="001C6C04"/>
    <w:rsid w:val="00211B0C"/>
    <w:rsid w:val="00216B17"/>
    <w:rsid w:val="0025145F"/>
    <w:rsid w:val="002569DF"/>
    <w:rsid w:val="00264AF3"/>
    <w:rsid w:val="00277C00"/>
    <w:rsid w:val="00282D76"/>
    <w:rsid w:val="00283C45"/>
    <w:rsid w:val="00284E74"/>
    <w:rsid w:val="003C00D7"/>
    <w:rsid w:val="003F281B"/>
    <w:rsid w:val="003F37A8"/>
    <w:rsid w:val="003F798C"/>
    <w:rsid w:val="00423758"/>
    <w:rsid w:val="00427D94"/>
    <w:rsid w:val="00431DC5"/>
    <w:rsid w:val="00457B04"/>
    <w:rsid w:val="005107D4"/>
    <w:rsid w:val="0051101E"/>
    <w:rsid w:val="00547C6C"/>
    <w:rsid w:val="005667D5"/>
    <w:rsid w:val="005A2EE6"/>
    <w:rsid w:val="005A574E"/>
    <w:rsid w:val="005D0988"/>
    <w:rsid w:val="005F41EE"/>
    <w:rsid w:val="0060059E"/>
    <w:rsid w:val="00606025"/>
    <w:rsid w:val="00617E6D"/>
    <w:rsid w:val="00676BA8"/>
    <w:rsid w:val="006C62E0"/>
    <w:rsid w:val="0074485D"/>
    <w:rsid w:val="00745F01"/>
    <w:rsid w:val="0077200B"/>
    <w:rsid w:val="007F7340"/>
    <w:rsid w:val="008471F8"/>
    <w:rsid w:val="0089191B"/>
    <w:rsid w:val="008E1B62"/>
    <w:rsid w:val="009315AA"/>
    <w:rsid w:val="00945F5F"/>
    <w:rsid w:val="009A0512"/>
    <w:rsid w:val="009C4C14"/>
    <w:rsid w:val="009D0A95"/>
    <w:rsid w:val="00A20444"/>
    <w:rsid w:val="00B0322A"/>
    <w:rsid w:val="00B22AA9"/>
    <w:rsid w:val="00B47E5B"/>
    <w:rsid w:val="00B707C2"/>
    <w:rsid w:val="00BC69FC"/>
    <w:rsid w:val="00BD1765"/>
    <w:rsid w:val="00C70AC0"/>
    <w:rsid w:val="00CB4BA4"/>
    <w:rsid w:val="00CF74FF"/>
    <w:rsid w:val="00D03734"/>
    <w:rsid w:val="00D10AEB"/>
    <w:rsid w:val="00D36C26"/>
    <w:rsid w:val="00D52F56"/>
    <w:rsid w:val="00D96EC5"/>
    <w:rsid w:val="00DB40EF"/>
    <w:rsid w:val="00DB5D1F"/>
    <w:rsid w:val="00DC5352"/>
    <w:rsid w:val="00E26E74"/>
    <w:rsid w:val="00EB33D8"/>
    <w:rsid w:val="00EB5661"/>
    <w:rsid w:val="00EC2B0E"/>
    <w:rsid w:val="00EE4A2C"/>
    <w:rsid w:val="00F240B9"/>
    <w:rsid w:val="00F522D7"/>
    <w:rsid w:val="00F714DE"/>
    <w:rsid w:val="00F97CF1"/>
    <w:rsid w:val="00FF2E1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A1"/>
  </w:style>
  <w:style w:type="paragraph" w:styleId="Stopka">
    <w:name w:val="footer"/>
    <w:basedOn w:val="Normalny"/>
    <w:link w:val="StopkaZnak"/>
    <w:uiPriority w:val="99"/>
    <w:unhideWhenUsed/>
    <w:rsid w:val="0003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2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A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A1"/>
  </w:style>
  <w:style w:type="paragraph" w:styleId="Stopka">
    <w:name w:val="footer"/>
    <w:basedOn w:val="Normalny"/>
    <w:link w:val="StopkaZnak"/>
    <w:uiPriority w:val="99"/>
    <w:unhideWhenUsed/>
    <w:rsid w:val="0003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2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A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8070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Finansów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Iwona</dc:creator>
  <cp:lastModifiedBy>Janczyk Iwona</cp:lastModifiedBy>
  <cp:revision>2</cp:revision>
  <cp:lastPrinted>2016-05-16T11:00:00Z</cp:lastPrinted>
  <dcterms:created xsi:type="dcterms:W3CDTF">2016-05-16T14:41:00Z</dcterms:created>
  <dcterms:modified xsi:type="dcterms:W3CDTF">2016-05-16T14:41:00Z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