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83" w:rsidRPr="007C0383" w:rsidRDefault="007C0383" w:rsidP="007C0383">
      <w:pPr>
        <w:tabs>
          <w:tab w:val="left" w:pos="1560"/>
        </w:tabs>
        <w:spacing w:after="0" w:line="360" w:lineRule="auto"/>
        <w:rPr>
          <w:rFonts w:ascii="Arial" w:hAnsi="Arial" w:cs="Arial"/>
          <w:sz w:val="18"/>
          <w:szCs w:val="26"/>
        </w:rPr>
      </w:pPr>
      <w:r>
        <w:rPr>
          <w:rFonts w:ascii="Arial" w:hAnsi="Arial" w:cs="Arial"/>
          <w:sz w:val="18"/>
          <w:szCs w:val="26"/>
        </w:rPr>
        <w:t>Informacja prasowa</w:t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</w:r>
      <w:r>
        <w:rPr>
          <w:rFonts w:ascii="Arial" w:hAnsi="Arial" w:cs="Arial"/>
          <w:sz w:val="18"/>
          <w:szCs w:val="26"/>
        </w:rPr>
        <w:tab/>
        <w:t xml:space="preserve"> </w:t>
      </w:r>
      <w:r w:rsidR="00522D97">
        <w:rPr>
          <w:rFonts w:ascii="Arial" w:hAnsi="Arial" w:cs="Arial"/>
          <w:sz w:val="18"/>
          <w:szCs w:val="26"/>
        </w:rPr>
        <w:t xml:space="preserve">Warszawa, </w:t>
      </w:r>
      <w:r w:rsidR="00DC2958" w:rsidRPr="00135F56">
        <w:rPr>
          <w:rFonts w:ascii="Arial" w:hAnsi="Arial" w:cs="Arial"/>
          <w:sz w:val="18"/>
          <w:szCs w:val="26"/>
        </w:rPr>
        <w:t>1</w:t>
      </w:r>
      <w:r w:rsidR="00E06A0F" w:rsidRPr="00135F56">
        <w:rPr>
          <w:rFonts w:ascii="Arial" w:hAnsi="Arial" w:cs="Arial"/>
          <w:sz w:val="18"/>
          <w:szCs w:val="26"/>
        </w:rPr>
        <w:t>0</w:t>
      </w:r>
      <w:r w:rsidR="00B846AD">
        <w:rPr>
          <w:rFonts w:ascii="Arial" w:hAnsi="Arial" w:cs="Arial"/>
          <w:sz w:val="18"/>
          <w:szCs w:val="26"/>
        </w:rPr>
        <w:t>.</w:t>
      </w:r>
      <w:r w:rsidR="00DD1507">
        <w:rPr>
          <w:rFonts w:ascii="Arial" w:hAnsi="Arial" w:cs="Arial"/>
          <w:sz w:val="18"/>
          <w:szCs w:val="26"/>
        </w:rPr>
        <w:t>1</w:t>
      </w:r>
      <w:r w:rsidR="00E06A0F">
        <w:rPr>
          <w:rFonts w:ascii="Arial" w:hAnsi="Arial" w:cs="Arial"/>
          <w:sz w:val="18"/>
          <w:szCs w:val="26"/>
        </w:rPr>
        <w:t>1</w:t>
      </w:r>
      <w:r w:rsidRPr="001D1749">
        <w:rPr>
          <w:rFonts w:ascii="Arial" w:hAnsi="Arial" w:cs="Arial"/>
          <w:sz w:val="18"/>
          <w:szCs w:val="26"/>
        </w:rPr>
        <w:t>.2016</w:t>
      </w:r>
      <w:r w:rsidR="00504AFA" w:rsidRPr="001D1749">
        <w:rPr>
          <w:rFonts w:ascii="Arial" w:hAnsi="Arial" w:cs="Arial"/>
          <w:sz w:val="18"/>
          <w:szCs w:val="26"/>
        </w:rPr>
        <w:t xml:space="preserve"> r.</w:t>
      </w:r>
    </w:p>
    <w:p w:rsidR="00D540F9" w:rsidRDefault="00D540F9" w:rsidP="00345368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121D5A" w:rsidRDefault="00121D5A" w:rsidP="003E5403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DD79AF">
        <w:rPr>
          <w:rFonts w:ascii="Arial" w:hAnsi="Arial" w:cs="Arial"/>
          <w:b/>
          <w:sz w:val="26"/>
          <w:szCs w:val="26"/>
        </w:rPr>
        <w:t xml:space="preserve">Wyniki sprzedaży obligacji </w:t>
      </w:r>
      <w:r w:rsidR="00AE586C">
        <w:rPr>
          <w:rFonts w:ascii="Arial" w:hAnsi="Arial" w:cs="Arial"/>
          <w:b/>
          <w:sz w:val="26"/>
          <w:szCs w:val="26"/>
        </w:rPr>
        <w:t>oszczędnościowych</w:t>
      </w:r>
      <w:r w:rsidRPr="00DD79AF">
        <w:rPr>
          <w:rFonts w:ascii="Arial" w:hAnsi="Arial" w:cs="Arial"/>
          <w:b/>
          <w:sz w:val="26"/>
          <w:szCs w:val="26"/>
        </w:rPr>
        <w:t xml:space="preserve"> w </w:t>
      </w:r>
      <w:r w:rsidR="00927E13">
        <w:rPr>
          <w:rFonts w:ascii="Arial" w:hAnsi="Arial" w:cs="Arial"/>
          <w:b/>
          <w:sz w:val="26"/>
          <w:szCs w:val="26"/>
        </w:rPr>
        <w:t>październiku</w:t>
      </w:r>
      <w:r>
        <w:rPr>
          <w:rFonts w:ascii="Arial" w:hAnsi="Arial" w:cs="Arial"/>
          <w:b/>
          <w:sz w:val="26"/>
          <w:szCs w:val="26"/>
        </w:rPr>
        <w:t xml:space="preserve"> 201</w:t>
      </w:r>
      <w:r w:rsidR="00927E13">
        <w:rPr>
          <w:rFonts w:ascii="Arial" w:hAnsi="Arial" w:cs="Arial"/>
          <w:b/>
          <w:sz w:val="26"/>
          <w:szCs w:val="26"/>
        </w:rPr>
        <w:t>6</w:t>
      </w:r>
      <w:r w:rsidRPr="00DD79AF">
        <w:rPr>
          <w:rFonts w:ascii="Arial" w:hAnsi="Arial" w:cs="Arial"/>
          <w:b/>
          <w:sz w:val="26"/>
          <w:szCs w:val="26"/>
        </w:rPr>
        <w:t xml:space="preserve"> roku.</w:t>
      </w:r>
    </w:p>
    <w:p w:rsidR="003E5403" w:rsidRPr="00316B3C" w:rsidRDefault="003E5403" w:rsidP="003E5403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49280F" w:rsidRPr="00316B3C" w:rsidRDefault="00414C42" w:rsidP="00AB3E6C">
      <w:pPr>
        <w:tabs>
          <w:tab w:val="left" w:pos="1560"/>
        </w:tabs>
        <w:spacing w:after="0" w:line="360" w:lineRule="auto"/>
        <w:rPr>
          <w:rFonts w:ascii="Arial" w:eastAsia="MS Mincho" w:hAnsi="Arial" w:cs="Arial"/>
          <w:b/>
          <w:color w:val="000000"/>
        </w:rPr>
      </w:pPr>
      <w:r w:rsidRPr="00316B3C">
        <w:rPr>
          <w:rFonts w:ascii="Arial" w:eastAsia="MS Mincho" w:hAnsi="Arial" w:cs="Arial"/>
          <w:b/>
          <w:color w:val="000000"/>
        </w:rPr>
        <w:t xml:space="preserve">W </w:t>
      </w:r>
      <w:r w:rsidR="00E06A0F" w:rsidRPr="00316B3C">
        <w:rPr>
          <w:rFonts w:ascii="Arial" w:eastAsia="MS Mincho" w:hAnsi="Arial" w:cs="Arial"/>
          <w:b/>
          <w:color w:val="000000"/>
        </w:rPr>
        <w:t>październiku</w:t>
      </w:r>
      <w:r w:rsidRPr="00316B3C">
        <w:rPr>
          <w:rFonts w:ascii="Arial" w:eastAsia="MS Mincho" w:hAnsi="Arial" w:cs="Arial"/>
          <w:b/>
          <w:color w:val="000000"/>
        </w:rPr>
        <w:t xml:space="preserve"> nabywcy indywidualni zakupili papiery o łącznej </w:t>
      </w:r>
      <w:r w:rsidRPr="00316B3C">
        <w:rPr>
          <w:rFonts w:ascii="Arial" w:eastAsia="MS Mincho" w:hAnsi="Arial" w:cs="Arial"/>
          <w:b/>
        </w:rPr>
        <w:t xml:space="preserve">wartości </w:t>
      </w:r>
      <w:r w:rsidR="001E208B" w:rsidRPr="00316B3C">
        <w:rPr>
          <w:rFonts w:ascii="Arial" w:eastAsia="MS Mincho" w:hAnsi="Arial" w:cs="Arial"/>
          <w:b/>
        </w:rPr>
        <w:t>8</w:t>
      </w:r>
      <w:r w:rsidR="0096472A" w:rsidRPr="00316B3C">
        <w:rPr>
          <w:rFonts w:ascii="Arial" w:eastAsia="MS Mincho" w:hAnsi="Arial" w:cs="Arial"/>
          <w:b/>
        </w:rPr>
        <w:t>7</w:t>
      </w:r>
      <w:r w:rsidR="001E208B" w:rsidRPr="00316B3C">
        <w:rPr>
          <w:rFonts w:ascii="Arial" w:eastAsia="MS Mincho" w:hAnsi="Arial" w:cs="Arial"/>
          <w:b/>
        </w:rPr>
        <w:t>0</w:t>
      </w:r>
      <w:r w:rsidR="00A466E5" w:rsidRPr="00316B3C">
        <w:rPr>
          <w:rFonts w:ascii="Arial" w:eastAsia="MS Mincho" w:hAnsi="Arial" w:cs="Arial"/>
          <w:b/>
        </w:rPr>
        <w:t xml:space="preserve"> </w:t>
      </w:r>
      <w:r w:rsidRPr="00316B3C">
        <w:rPr>
          <w:rFonts w:ascii="Arial" w:eastAsia="MS Mincho" w:hAnsi="Arial" w:cs="Arial"/>
          <w:b/>
        </w:rPr>
        <w:t>mln zł</w:t>
      </w:r>
      <w:r w:rsidR="00AA7ABE" w:rsidRPr="00316B3C">
        <w:rPr>
          <w:rFonts w:ascii="Arial" w:eastAsia="MS Mincho" w:hAnsi="Arial" w:cs="Arial"/>
          <w:b/>
        </w:rPr>
        <w:t>.</w:t>
      </w:r>
      <w:r w:rsidRPr="00316B3C">
        <w:rPr>
          <w:rFonts w:ascii="Arial" w:eastAsia="MS Mincho" w:hAnsi="Arial" w:cs="Arial"/>
          <w:b/>
        </w:rPr>
        <w:t xml:space="preserve"> </w:t>
      </w:r>
      <w:r w:rsidR="00AA7ABE" w:rsidRPr="00316B3C">
        <w:rPr>
          <w:rFonts w:ascii="Arial" w:eastAsia="MS Mincho" w:hAnsi="Arial" w:cs="Arial"/>
          <w:b/>
        </w:rPr>
        <w:t>Ł</w:t>
      </w:r>
      <w:r w:rsidRPr="00316B3C">
        <w:rPr>
          <w:rFonts w:ascii="Arial" w:eastAsia="MS Mincho" w:hAnsi="Arial" w:cs="Arial"/>
          <w:b/>
          <w:color w:val="000000"/>
        </w:rPr>
        <w:t xml:space="preserve">ączna sprzedaż </w:t>
      </w:r>
      <w:r w:rsidR="00A709BC">
        <w:rPr>
          <w:rFonts w:ascii="Arial" w:eastAsia="MS Mincho" w:hAnsi="Arial" w:cs="Arial"/>
          <w:b/>
          <w:color w:val="000000"/>
        </w:rPr>
        <w:t xml:space="preserve">po </w:t>
      </w:r>
      <w:r w:rsidR="001E208B" w:rsidRPr="00316B3C">
        <w:rPr>
          <w:rFonts w:ascii="Arial" w:eastAsia="MS Mincho" w:hAnsi="Arial" w:cs="Arial"/>
          <w:b/>
          <w:color w:val="000000"/>
        </w:rPr>
        <w:t>10</w:t>
      </w:r>
      <w:r w:rsidR="00CA5BF2" w:rsidRPr="00316B3C">
        <w:rPr>
          <w:rFonts w:ascii="Arial" w:eastAsia="MS Mincho" w:hAnsi="Arial" w:cs="Arial"/>
          <w:b/>
          <w:color w:val="000000"/>
        </w:rPr>
        <w:t xml:space="preserve"> </w:t>
      </w:r>
      <w:r w:rsidR="004B369C" w:rsidRPr="00316B3C">
        <w:rPr>
          <w:rFonts w:ascii="Arial" w:eastAsia="MS Mincho" w:hAnsi="Arial" w:cs="Arial"/>
          <w:b/>
          <w:color w:val="000000"/>
        </w:rPr>
        <w:t>miesiącach</w:t>
      </w:r>
      <w:r w:rsidR="00CA5BF2" w:rsidRPr="00316B3C">
        <w:rPr>
          <w:rFonts w:ascii="Arial" w:eastAsia="MS Mincho" w:hAnsi="Arial" w:cs="Arial"/>
          <w:b/>
          <w:color w:val="000000"/>
        </w:rPr>
        <w:t xml:space="preserve"> br. </w:t>
      </w:r>
      <w:r w:rsidR="00AA7ABE" w:rsidRPr="00316B3C">
        <w:rPr>
          <w:rFonts w:ascii="Arial" w:eastAsia="MS Mincho" w:hAnsi="Arial" w:cs="Arial"/>
          <w:b/>
          <w:color w:val="000000"/>
        </w:rPr>
        <w:t xml:space="preserve">przekroczyła </w:t>
      </w:r>
      <w:r w:rsidR="001E208B" w:rsidRPr="00316B3C">
        <w:rPr>
          <w:rFonts w:ascii="Arial" w:eastAsia="MS Mincho" w:hAnsi="Arial" w:cs="Arial"/>
          <w:b/>
          <w:color w:val="000000"/>
        </w:rPr>
        <w:t>4</w:t>
      </w:r>
      <w:r w:rsidR="00AA7ABE" w:rsidRPr="00316B3C">
        <w:rPr>
          <w:rFonts w:ascii="Arial" w:eastAsia="MS Mincho" w:hAnsi="Arial" w:cs="Arial"/>
          <w:b/>
          <w:color w:val="000000"/>
        </w:rPr>
        <w:t xml:space="preserve"> mld zł</w:t>
      </w:r>
      <w:r w:rsidR="00A709BC">
        <w:rPr>
          <w:rFonts w:ascii="Arial" w:eastAsia="MS Mincho" w:hAnsi="Arial" w:cs="Arial"/>
          <w:b/>
          <w:color w:val="000000"/>
        </w:rPr>
        <w:t xml:space="preserve">, co oznacza, że </w:t>
      </w:r>
      <w:r w:rsidR="00CF37F7">
        <w:rPr>
          <w:rFonts w:ascii="Arial" w:eastAsia="MS Mincho" w:hAnsi="Arial" w:cs="Arial"/>
          <w:b/>
          <w:color w:val="000000"/>
        </w:rPr>
        <w:t>tegoroczna</w:t>
      </w:r>
      <w:r w:rsidR="00A709BC">
        <w:rPr>
          <w:rFonts w:ascii="Arial" w:eastAsia="MS Mincho" w:hAnsi="Arial" w:cs="Arial"/>
          <w:b/>
          <w:color w:val="000000"/>
        </w:rPr>
        <w:t xml:space="preserve"> sprzedaż</w:t>
      </w:r>
      <w:r w:rsidR="004B369C" w:rsidRPr="00316B3C">
        <w:rPr>
          <w:rFonts w:ascii="Arial" w:eastAsia="MS Mincho" w:hAnsi="Arial" w:cs="Arial"/>
          <w:b/>
          <w:color w:val="000000"/>
        </w:rPr>
        <w:t xml:space="preserve"> </w:t>
      </w:r>
      <w:r w:rsidR="00A709BC">
        <w:rPr>
          <w:rFonts w:ascii="Arial" w:eastAsia="MS Mincho" w:hAnsi="Arial" w:cs="Arial"/>
          <w:b/>
          <w:color w:val="000000"/>
        </w:rPr>
        <w:t>będzie</w:t>
      </w:r>
      <w:r w:rsidR="00CF37F7">
        <w:rPr>
          <w:rFonts w:ascii="Arial" w:eastAsia="MS Mincho" w:hAnsi="Arial" w:cs="Arial"/>
          <w:b/>
          <w:color w:val="000000"/>
        </w:rPr>
        <w:t xml:space="preserve"> </w:t>
      </w:r>
      <w:r w:rsidR="004B369C" w:rsidRPr="00316B3C">
        <w:rPr>
          <w:rFonts w:ascii="Arial" w:eastAsia="MS Mincho" w:hAnsi="Arial" w:cs="Arial"/>
          <w:b/>
          <w:color w:val="000000"/>
        </w:rPr>
        <w:t>najwyższ</w:t>
      </w:r>
      <w:r w:rsidR="00A709BC">
        <w:rPr>
          <w:rFonts w:ascii="Arial" w:eastAsia="MS Mincho" w:hAnsi="Arial" w:cs="Arial"/>
          <w:b/>
          <w:color w:val="000000"/>
        </w:rPr>
        <w:t>a</w:t>
      </w:r>
      <w:r w:rsidR="00CF37F7">
        <w:rPr>
          <w:rFonts w:ascii="Arial" w:eastAsia="MS Mincho" w:hAnsi="Arial" w:cs="Arial"/>
          <w:b/>
          <w:color w:val="000000"/>
        </w:rPr>
        <w:t xml:space="preserve"> </w:t>
      </w:r>
      <w:r w:rsidR="004B369C" w:rsidRPr="00316B3C">
        <w:rPr>
          <w:rFonts w:ascii="Arial" w:eastAsia="MS Mincho" w:hAnsi="Arial" w:cs="Arial"/>
          <w:b/>
          <w:color w:val="000000"/>
        </w:rPr>
        <w:t xml:space="preserve">od </w:t>
      </w:r>
      <w:r w:rsidR="00CA5BF2" w:rsidRPr="00316B3C">
        <w:rPr>
          <w:rFonts w:ascii="Arial" w:eastAsia="MS Mincho" w:hAnsi="Arial" w:cs="Arial"/>
          <w:b/>
          <w:color w:val="000000"/>
        </w:rPr>
        <w:t>20</w:t>
      </w:r>
      <w:r w:rsidR="004B369C" w:rsidRPr="00316B3C">
        <w:rPr>
          <w:rFonts w:ascii="Arial" w:eastAsia="MS Mincho" w:hAnsi="Arial" w:cs="Arial"/>
          <w:b/>
          <w:color w:val="000000"/>
        </w:rPr>
        <w:t>08 r.</w:t>
      </w:r>
      <w:r w:rsidR="00CA5BF2" w:rsidRPr="00316B3C">
        <w:rPr>
          <w:rFonts w:ascii="Arial" w:eastAsia="MS Mincho" w:hAnsi="Arial" w:cs="Arial"/>
          <w:b/>
          <w:color w:val="000000"/>
        </w:rPr>
        <w:t xml:space="preserve"> </w:t>
      </w:r>
    </w:p>
    <w:p w:rsidR="00A51EAC" w:rsidRPr="00316B3C" w:rsidRDefault="00A51EAC" w:rsidP="008F3AF9">
      <w:pPr>
        <w:tabs>
          <w:tab w:val="left" w:pos="1560"/>
        </w:tabs>
        <w:spacing w:after="120" w:line="360" w:lineRule="auto"/>
        <w:jc w:val="both"/>
        <w:rPr>
          <w:rFonts w:ascii="Arial" w:eastAsia="MS Mincho" w:hAnsi="Arial" w:cs="Arial"/>
          <w:b/>
          <w:color w:val="000000"/>
        </w:rPr>
      </w:pPr>
    </w:p>
    <w:p w:rsidR="00A51EAC" w:rsidRDefault="00A51EAC" w:rsidP="00AB3E6C">
      <w:pPr>
        <w:spacing w:after="120" w:line="360" w:lineRule="auto"/>
        <w:rPr>
          <w:rFonts w:ascii="Arial" w:hAnsi="Arial" w:cs="Arial"/>
        </w:rPr>
      </w:pPr>
      <w:r w:rsidRPr="00316B3C">
        <w:rPr>
          <w:rFonts w:ascii="Arial" w:hAnsi="Arial" w:cs="Arial"/>
        </w:rPr>
        <w:t xml:space="preserve">W </w:t>
      </w:r>
      <w:r w:rsidR="001E208B" w:rsidRPr="00316B3C">
        <w:rPr>
          <w:rFonts w:ascii="Arial" w:hAnsi="Arial" w:cs="Arial"/>
        </w:rPr>
        <w:t xml:space="preserve">październiku </w:t>
      </w:r>
      <w:r w:rsidRPr="00316B3C">
        <w:rPr>
          <w:rFonts w:ascii="Arial" w:hAnsi="Arial" w:cs="Arial"/>
        </w:rPr>
        <w:t>2016 roku trwała sprzedaż obligacji DOS</w:t>
      </w:r>
      <w:r w:rsidR="001E208B" w:rsidRPr="00316B3C">
        <w:rPr>
          <w:rFonts w:ascii="Arial" w:hAnsi="Arial" w:cs="Arial"/>
        </w:rPr>
        <w:t>10</w:t>
      </w:r>
      <w:r w:rsidRPr="00316B3C">
        <w:rPr>
          <w:rFonts w:ascii="Arial" w:hAnsi="Arial" w:cs="Arial"/>
        </w:rPr>
        <w:t>18 (2-letnich), TOZ</w:t>
      </w:r>
      <w:r w:rsidR="001E208B" w:rsidRPr="00316B3C">
        <w:rPr>
          <w:rFonts w:ascii="Arial" w:hAnsi="Arial" w:cs="Arial"/>
        </w:rPr>
        <w:t>10</w:t>
      </w:r>
      <w:r w:rsidRPr="00316B3C">
        <w:rPr>
          <w:rFonts w:ascii="Arial" w:hAnsi="Arial" w:cs="Arial"/>
        </w:rPr>
        <w:t>19 (3-letnich), COI</w:t>
      </w:r>
      <w:r w:rsidR="001E208B" w:rsidRPr="00316B3C">
        <w:rPr>
          <w:rFonts w:ascii="Arial" w:hAnsi="Arial" w:cs="Arial"/>
        </w:rPr>
        <w:t>10</w:t>
      </w:r>
      <w:r w:rsidRPr="00316B3C">
        <w:rPr>
          <w:rFonts w:ascii="Arial" w:hAnsi="Arial" w:cs="Arial"/>
        </w:rPr>
        <w:t>20 (4-letnich) oraz EDO</w:t>
      </w:r>
      <w:r w:rsidR="001E208B" w:rsidRPr="00316B3C">
        <w:rPr>
          <w:rFonts w:ascii="Arial" w:hAnsi="Arial" w:cs="Arial"/>
        </w:rPr>
        <w:t>10</w:t>
      </w:r>
      <w:r w:rsidRPr="00316B3C">
        <w:rPr>
          <w:rFonts w:ascii="Arial" w:hAnsi="Arial" w:cs="Arial"/>
        </w:rPr>
        <w:t xml:space="preserve">26 (10-letnich). W tym czasie nabywcy indywidualni zakupili papiery o wartości nominalnej </w:t>
      </w:r>
      <w:r w:rsidR="001E208B" w:rsidRPr="00316B3C">
        <w:rPr>
          <w:rFonts w:ascii="Arial" w:hAnsi="Arial" w:cs="Arial"/>
          <w:b/>
        </w:rPr>
        <w:t>8</w:t>
      </w:r>
      <w:r w:rsidR="0096472A" w:rsidRPr="00316B3C">
        <w:rPr>
          <w:rFonts w:ascii="Arial" w:hAnsi="Arial" w:cs="Arial"/>
          <w:b/>
        </w:rPr>
        <w:t>7</w:t>
      </w:r>
      <w:r w:rsidR="001E208B" w:rsidRPr="00316B3C">
        <w:rPr>
          <w:rFonts w:ascii="Arial" w:hAnsi="Arial" w:cs="Arial"/>
          <w:b/>
        </w:rPr>
        <w:t>0</w:t>
      </w:r>
      <w:r w:rsidRPr="00316B3C">
        <w:rPr>
          <w:rFonts w:ascii="Arial" w:hAnsi="Arial" w:cs="Arial"/>
          <w:b/>
        </w:rPr>
        <w:t xml:space="preserve"> mln zł.</w:t>
      </w:r>
      <w:r w:rsidRPr="00F77512">
        <w:rPr>
          <w:rFonts w:ascii="Arial" w:hAnsi="Arial" w:cs="Arial"/>
          <w:b/>
        </w:rPr>
        <w:t xml:space="preserve"> </w:t>
      </w:r>
    </w:p>
    <w:p w:rsidR="000E2747" w:rsidRDefault="00312ABA" w:rsidP="00010662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B369C">
        <w:rPr>
          <w:rFonts w:ascii="Arial" w:hAnsi="Arial" w:cs="Arial"/>
        </w:rPr>
        <w:t xml:space="preserve">październiku </w:t>
      </w:r>
      <w:r w:rsidR="000E2747">
        <w:rPr>
          <w:rFonts w:ascii="Arial" w:hAnsi="Arial" w:cs="Arial"/>
        </w:rPr>
        <w:t>201</w:t>
      </w:r>
      <w:r w:rsidR="00AC42C8">
        <w:rPr>
          <w:rFonts w:ascii="Arial" w:hAnsi="Arial" w:cs="Arial"/>
        </w:rPr>
        <w:t>6</w:t>
      </w:r>
      <w:r w:rsidR="000E2747" w:rsidRPr="00FC2174">
        <w:rPr>
          <w:rFonts w:ascii="Arial" w:hAnsi="Arial" w:cs="Arial"/>
        </w:rPr>
        <w:t xml:space="preserve"> roku sprzedano obligacje</w:t>
      </w:r>
      <w:r w:rsidR="000E2747">
        <w:rPr>
          <w:rFonts w:ascii="Arial" w:hAnsi="Arial" w:cs="Arial"/>
        </w:rPr>
        <w:t>:</w:t>
      </w:r>
    </w:p>
    <w:p w:rsidR="000E2747" w:rsidRPr="00F1018B" w:rsidRDefault="000E2747" w:rsidP="000E27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1018B">
        <w:rPr>
          <w:rFonts w:ascii="Arial" w:hAnsi="Arial" w:cs="Arial"/>
        </w:rPr>
        <w:t>2-letnie</w:t>
      </w:r>
      <w:r w:rsidR="00701E38" w:rsidRPr="00F1018B">
        <w:rPr>
          <w:rFonts w:ascii="Arial" w:hAnsi="Arial" w:cs="Arial"/>
        </w:rPr>
        <w:t xml:space="preserve"> </w:t>
      </w:r>
      <w:r w:rsidR="00F1018B" w:rsidRPr="00F1018B">
        <w:rPr>
          <w:rFonts w:ascii="Arial" w:hAnsi="Arial" w:cs="Arial"/>
        </w:rPr>
        <w:t>(DOS</w:t>
      </w:r>
      <w:r w:rsidR="000B397F">
        <w:rPr>
          <w:rFonts w:ascii="Arial" w:hAnsi="Arial" w:cs="Arial"/>
        </w:rPr>
        <w:t>10</w:t>
      </w:r>
      <w:r w:rsidR="005C62F7" w:rsidRPr="00F1018B">
        <w:rPr>
          <w:rFonts w:ascii="Arial" w:hAnsi="Arial" w:cs="Arial"/>
        </w:rPr>
        <w:t>18)</w:t>
      </w:r>
      <w:r w:rsidR="00701E38" w:rsidRPr="00F1018B">
        <w:rPr>
          <w:rFonts w:ascii="Arial" w:hAnsi="Arial" w:cs="Arial"/>
        </w:rPr>
        <w:t xml:space="preserve"> </w:t>
      </w:r>
      <w:r w:rsidRPr="00F1018B">
        <w:rPr>
          <w:rFonts w:ascii="Arial" w:hAnsi="Arial" w:cs="Arial"/>
        </w:rPr>
        <w:t xml:space="preserve"> </w:t>
      </w:r>
      <w:r w:rsidR="00FD09BB" w:rsidRPr="00F1018B">
        <w:rPr>
          <w:rFonts w:ascii="Arial" w:hAnsi="Arial" w:cs="Arial"/>
        </w:rPr>
        <w:t>–</w:t>
      </w:r>
      <w:r w:rsidRPr="00F1018B">
        <w:rPr>
          <w:rFonts w:ascii="Arial" w:hAnsi="Arial" w:cs="Arial"/>
        </w:rPr>
        <w:t xml:space="preserve"> </w:t>
      </w:r>
      <w:r w:rsidR="00484214">
        <w:rPr>
          <w:rFonts w:ascii="Arial" w:hAnsi="Arial" w:cs="Arial"/>
        </w:rPr>
        <w:t>690,6</w:t>
      </w:r>
      <w:r w:rsidR="002F7A2C" w:rsidRPr="00F1018B">
        <w:rPr>
          <w:rFonts w:ascii="Arial" w:hAnsi="Arial" w:cs="Arial"/>
        </w:rPr>
        <w:t xml:space="preserve"> </w:t>
      </w:r>
      <w:r w:rsidRPr="00F1018B">
        <w:rPr>
          <w:rFonts w:ascii="Arial" w:hAnsi="Arial" w:cs="Arial"/>
        </w:rPr>
        <w:t>mln zł,</w:t>
      </w:r>
    </w:p>
    <w:p w:rsidR="000E2747" w:rsidRPr="00F1018B" w:rsidRDefault="000E2747" w:rsidP="000E27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1018B">
        <w:rPr>
          <w:rFonts w:ascii="Arial" w:hAnsi="Arial" w:cs="Arial"/>
        </w:rPr>
        <w:t xml:space="preserve">3-letnie </w:t>
      </w:r>
      <w:r w:rsidR="00F1018B" w:rsidRPr="00F1018B">
        <w:rPr>
          <w:rFonts w:ascii="Arial" w:hAnsi="Arial" w:cs="Arial"/>
        </w:rPr>
        <w:t>(TOZ</w:t>
      </w:r>
      <w:r w:rsidR="000B397F">
        <w:rPr>
          <w:rFonts w:ascii="Arial" w:hAnsi="Arial" w:cs="Arial"/>
        </w:rPr>
        <w:t>10</w:t>
      </w:r>
      <w:r w:rsidR="005C62F7" w:rsidRPr="00F1018B">
        <w:rPr>
          <w:rFonts w:ascii="Arial" w:hAnsi="Arial" w:cs="Arial"/>
        </w:rPr>
        <w:t>19)</w:t>
      </w:r>
      <w:r w:rsidR="00701E38" w:rsidRPr="00F1018B">
        <w:rPr>
          <w:rFonts w:ascii="Arial" w:hAnsi="Arial" w:cs="Arial"/>
        </w:rPr>
        <w:t xml:space="preserve">  </w:t>
      </w:r>
      <w:r w:rsidR="00FD09BB" w:rsidRPr="00F1018B">
        <w:rPr>
          <w:rFonts w:ascii="Arial" w:hAnsi="Arial" w:cs="Arial"/>
        </w:rPr>
        <w:t>–</w:t>
      </w:r>
      <w:r w:rsidRPr="00F1018B">
        <w:rPr>
          <w:rFonts w:ascii="Arial" w:hAnsi="Arial" w:cs="Arial"/>
        </w:rPr>
        <w:t xml:space="preserve"> </w:t>
      </w:r>
      <w:r w:rsidR="00484214">
        <w:rPr>
          <w:rFonts w:ascii="Arial" w:hAnsi="Arial" w:cs="Arial"/>
        </w:rPr>
        <w:t>19</w:t>
      </w:r>
      <w:r w:rsidR="002F7A2C" w:rsidRPr="00F1018B">
        <w:rPr>
          <w:rFonts w:ascii="Arial" w:hAnsi="Arial" w:cs="Arial"/>
        </w:rPr>
        <w:t>,</w:t>
      </w:r>
      <w:r w:rsidR="00484214">
        <w:rPr>
          <w:rFonts w:ascii="Arial" w:hAnsi="Arial" w:cs="Arial"/>
        </w:rPr>
        <w:t>1</w:t>
      </w:r>
      <w:r w:rsidR="005A0E65" w:rsidRPr="00F1018B">
        <w:rPr>
          <w:rFonts w:ascii="Arial" w:hAnsi="Arial" w:cs="Arial"/>
        </w:rPr>
        <w:t xml:space="preserve"> </w:t>
      </w:r>
      <w:r w:rsidRPr="00F1018B">
        <w:rPr>
          <w:rFonts w:ascii="Arial" w:hAnsi="Arial" w:cs="Arial"/>
        </w:rPr>
        <w:t>mln zł,</w:t>
      </w:r>
    </w:p>
    <w:p w:rsidR="000E2747" w:rsidRPr="00F1018B" w:rsidRDefault="000E2747" w:rsidP="000E27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1018B">
        <w:rPr>
          <w:rFonts w:ascii="Arial" w:hAnsi="Arial" w:cs="Arial"/>
        </w:rPr>
        <w:t>4-letnie</w:t>
      </w:r>
      <w:r w:rsidR="00F1018B" w:rsidRPr="00F1018B">
        <w:rPr>
          <w:rFonts w:ascii="Arial" w:hAnsi="Arial" w:cs="Arial"/>
        </w:rPr>
        <w:t xml:space="preserve"> (COI</w:t>
      </w:r>
      <w:r w:rsidR="000B397F">
        <w:rPr>
          <w:rFonts w:ascii="Arial" w:hAnsi="Arial" w:cs="Arial"/>
        </w:rPr>
        <w:t>10</w:t>
      </w:r>
      <w:r w:rsidR="005C62F7" w:rsidRPr="00F1018B">
        <w:rPr>
          <w:rFonts w:ascii="Arial" w:hAnsi="Arial" w:cs="Arial"/>
        </w:rPr>
        <w:t>20)</w:t>
      </w:r>
      <w:r w:rsidRPr="00F1018B">
        <w:rPr>
          <w:rFonts w:ascii="Arial" w:hAnsi="Arial" w:cs="Arial"/>
        </w:rPr>
        <w:t xml:space="preserve"> </w:t>
      </w:r>
      <w:r w:rsidR="00701E38" w:rsidRPr="00F1018B">
        <w:rPr>
          <w:rFonts w:ascii="Arial" w:hAnsi="Arial" w:cs="Arial"/>
        </w:rPr>
        <w:t xml:space="preserve">  </w:t>
      </w:r>
      <w:r w:rsidR="00FD09BB" w:rsidRPr="00F1018B">
        <w:rPr>
          <w:rFonts w:ascii="Arial" w:hAnsi="Arial" w:cs="Arial"/>
        </w:rPr>
        <w:t>–</w:t>
      </w:r>
      <w:r w:rsidRPr="00F1018B">
        <w:rPr>
          <w:rFonts w:ascii="Arial" w:hAnsi="Arial" w:cs="Arial"/>
        </w:rPr>
        <w:t xml:space="preserve"> </w:t>
      </w:r>
      <w:r w:rsidR="00484214">
        <w:rPr>
          <w:rFonts w:ascii="Arial" w:hAnsi="Arial" w:cs="Arial"/>
        </w:rPr>
        <w:t>118</w:t>
      </w:r>
      <w:r w:rsidR="00DD1507">
        <w:rPr>
          <w:rFonts w:ascii="Arial" w:hAnsi="Arial" w:cs="Arial"/>
        </w:rPr>
        <w:t>,</w:t>
      </w:r>
      <w:r w:rsidR="00484214">
        <w:rPr>
          <w:rFonts w:ascii="Arial" w:hAnsi="Arial" w:cs="Arial"/>
        </w:rPr>
        <w:t>8</w:t>
      </w:r>
      <w:r w:rsidR="00366CBD" w:rsidRPr="00F1018B">
        <w:rPr>
          <w:rFonts w:ascii="Arial" w:hAnsi="Arial" w:cs="Arial"/>
        </w:rPr>
        <w:t xml:space="preserve"> </w:t>
      </w:r>
      <w:r w:rsidRPr="00F1018B">
        <w:rPr>
          <w:rFonts w:ascii="Arial" w:hAnsi="Arial" w:cs="Arial"/>
        </w:rPr>
        <w:t>mln zł,</w:t>
      </w:r>
    </w:p>
    <w:p w:rsidR="000E2747" w:rsidRPr="00F1018B" w:rsidRDefault="000E2747" w:rsidP="000E27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F1018B">
        <w:rPr>
          <w:rFonts w:ascii="Arial" w:hAnsi="Arial" w:cs="Arial"/>
        </w:rPr>
        <w:t>10-letnie</w:t>
      </w:r>
      <w:r w:rsidR="00701E38" w:rsidRPr="00F1018B">
        <w:rPr>
          <w:rFonts w:ascii="Arial" w:hAnsi="Arial" w:cs="Arial"/>
        </w:rPr>
        <w:t xml:space="preserve"> </w:t>
      </w:r>
      <w:r w:rsidR="00F1018B" w:rsidRPr="00F1018B">
        <w:rPr>
          <w:rFonts w:ascii="Arial" w:hAnsi="Arial" w:cs="Arial"/>
        </w:rPr>
        <w:t>(EDO</w:t>
      </w:r>
      <w:r w:rsidR="000B397F">
        <w:rPr>
          <w:rFonts w:ascii="Arial" w:hAnsi="Arial" w:cs="Arial"/>
        </w:rPr>
        <w:t>10</w:t>
      </w:r>
      <w:r w:rsidR="005C62F7" w:rsidRPr="00F1018B">
        <w:rPr>
          <w:rFonts w:ascii="Arial" w:hAnsi="Arial" w:cs="Arial"/>
        </w:rPr>
        <w:t xml:space="preserve">26) </w:t>
      </w:r>
      <w:r w:rsidR="00701E38" w:rsidRPr="00F1018B">
        <w:rPr>
          <w:rFonts w:ascii="Arial" w:hAnsi="Arial" w:cs="Arial"/>
        </w:rPr>
        <w:t>–</w:t>
      </w:r>
      <w:r w:rsidRPr="00F1018B">
        <w:rPr>
          <w:rFonts w:ascii="Arial" w:hAnsi="Arial" w:cs="Arial"/>
        </w:rPr>
        <w:t xml:space="preserve"> </w:t>
      </w:r>
      <w:r w:rsidR="00484214">
        <w:rPr>
          <w:rFonts w:ascii="Arial" w:hAnsi="Arial" w:cs="Arial"/>
        </w:rPr>
        <w:t>41</w:t>
      </w:r>
      <w:r w:rsidR="002F7A2C" w:rsidRPr="00F1018B">
        <w:rPr>
          <w:rFonts w:ascii="Arial" w:hAnsi="Arial" w:cs="Arial"/>
        </w:rPr>
        <w:t>,</w:t>
      </w:r>
      <w:r w:rsidR="00484214">
        <w:rPr>
          <w:rFonts w:ascii="Arial" w:hAnsi="Arial" w:cs="Arial"/>
        </w:rPr>
        <w:t>0</w:t>
      </w:r>
      <w:r w:rsidR="002F7A2C" w:rsidRPr="00F1018B">
        <w:rPr>
          <w:rFonts w:ascii="Arial" w:hAnsi="Arial" w:cs="Arial"/>
        </w:rPr>
        <w:t xml:space="preserve"> </w:t>
      </w:r>
      <w:r w:rsidRPr="00F1018B">
        <w:rPr>
          <w:rFonts w:ascii="Arial" w:hAnsi="Arial" w:cs="Arial"/>
        </w:rPr>
        <w:t>mln zł.</w:t>
      </w:r>
    </w:p>
    <w:p w:rsidR="00702155" w:rsidRPr="00702155" w:rsidRDefault="00702155" w:rsidP="00AB3E6C">
      <w:pPr>
        <w:spacing w:line="360" w:lineRule="auto"/>
        <w:rPr>
          <w:rFonts w:ascii="Arial" w:hAnsi="Arial" w:cs="Arial"/>
        </w:rPr>
      </w:pPr>
      <w:r w:rsidRPr="0017045C">
        <w:rPr>
          <w:rFonts w:ascii="Arial" w:hAnsi="Arial" w:cs="Arial"/>
        </w:rPr>
        <w:t xml:space="preserve">Największym zainteresowaniem nabywców cieszyły się obligacje o najkrótszym okresie </w:t>
      </w:r>
      <w:r w:rsidR="003D5F4F" w:rsidRPr="0017045C">
        <w:rPr>
          <w:rFonts w:ascii="Arial" w:hAnsi="Arial" w:cs="Arial"/>
        </w:rPr>
        <w:t>oszczędzania</w:t>
      </w:r>
      <w:r w:rsidR="008C2171">
        <w:rPr>
          <w:rFonts w:ascii="Arial" w:hAnsi="Arial" w:cs="Arial"/>
        </w:rPr>
        <w:t xml:space="preserve"> 2-letnie</w:t>
      </w:r>
      <w:r w:rsidRPr="0017045C">
        <w:rPr>
          <w:rFonts w:ascii="Arial" w:hAnsi="Arial" w:cs="Arial"/>
        </w:rPr>
        <w:t xml:space="preserve"> </w:t>
      </w:r>
      <w:r w:rsidR="002B2B62">
        <w:rPr>
          <w:rFonts w:ascii="Arial" w:hAnsi="Arial" w:cs="Arial"/>
        </w:rPr>
        <w:t>(</w:t>
      </w:r>
      <w:r w:rsidR="006E3CA6">
        <w:rPr>
          <w:rFonts w:ascii="Arial" w:hAnsi="Arial" w:cs="Arial"/>
        </w:rPr>
        <w:t>7</w:t>
      </w:r>
      <w:r w:rsidR="00ED0918">
        <w:rPr>
          <w:rFonts w:ascii="Arial" w:hAnsi="Arial" w:cs="Arial"/>
        </w:rPr>
        <w:t>9</w:t>
      </w:r>
      <w:r w:rsidRPr="00463416">
        <w:rPr>
          <w:rFonts w:ascii="Arial" w:hAnsi="Arial" w:cs="Arial"/>
        </w:rPr>
        <w:t xml:space="preserve">% udział </w:t>
      </w:r>
      <w:r w:rsidRPr="0017045C">
        <w:rPr>
          <w:rFonts w:ascii="Arial" w:hAnsi="Arial" w:cs="Arial"/>
        </w:rPr>
        <w:t>w strukturze sprzedaży</w:t>
      </w:r>
      <w:r w:rsidR="002B2B62">
        <w:rPr>
          <w:rFonts w:ascii="Arial" w:hAnsi="Arial" w:cs="Arial"/>
        </w:rPr>
        <w:t>)</w:t>
      </w:r>
      <w:r w:rsidRPr="0017045C">
        <w:rPr>
          <w:rFonts w:ascii="Arial" w:hAnsi="Arial" w:cs="Arial"/>
        </w:rPr>
        <w:t xml:space="preserve">. W dalszej kolejności oszczędzający </w:t>
      </w:r>
      <w:r w:rsidRPr="00EA05BB">
        <w:rPr>
          <w:rFonts w:ascii="Arial" w:hAnsi="Arial" w:cs="Arial"/>
        </w:rPr>
        <w:t xml:space="preserve">wybierali obligacje 4-letnie </w:t>
      </w:r>
      <w:r w:rsidR="002B2B62" w:rsidRPr="00EA05BB">
        <w:rPr>
          <w:rFonts w:ascii="Arial" w:hAnsi="Arial" w:cs="Arial"/>
        </w:rPr>
        <w:t>(</w:t>
      </w:r>
      <w:r w:rsidR="006E3CA6" w:rsidRPr="00EA05BB">
        <w:rPr>
          <w:rFonts w:ascii="Arial" w:hAnsi="Arial" w:cs="Arial"/>
        </w:rPr>
        <w:t>1</w:t>
      </w:r>
      <w:r w:rsidR="00DC0595" w:rsidRPr="00EA05BB">
        <w:rPr>
          <w:rFonts w:ascii="Arial" w:hAnsi="Arial" w:cs="Arial"/>
        </w:rPr>
        <w:t>4</w:t>
      </w:r>
      <w:r w:rsidR="00BF2634" w:rsidRPr="00EA05BB">
        <w:rPr>
          <w:rFonts w:ascii="Arial" w:hAnsi="Arial" w:cs="Arial"/>
        </w:rPr>
        <w:t>%</w:t>
      </w:r>
      <w:r w:rsidR="002B2B62" w:rsidRPr="00EA05BB">
        <w:rPr>
          <w:rFonts w:ascii="Arial" w:hAnsi="Arial" w:cs="Arial"/>
        </w:rPr>
        <w:t>)</w:t>
      </w:r>
      <w:r w:rsidR="00FD09BB" w:rsidRPr="00EA05BB">
        <w:rPr>
          <w:rFonts w:ascii="Arial" w:hAnsi="Arial" w:cs="Arial"/>
        </w:rPr>
        <w:t xml:space="preserve">, </w:t>
      </w:r>
      <w:r w:rsidR="00DD1507" w:rsidRPr="00EA05BB">
        <w:rPr>
          <w:rFonts w:ascii="Arial" w:hAnsi="Arial" w:cs="Arial"/>
        </w:rPr>
        <w:t xml:space="preserve">10-letnie </w:t>
      </w:r>
      <w:r w:rsidR="006E3CA6" w:rsidRPr="00EA05BB">
        <w:rPr>
          <w:rFonts w:ascii="Arial" w:hAnsi="Arial" w:cs="Arial"/>
        </w:rPr>
        <w:t>(</w:t>
      </w:r>
      <w:r w:rsidR="007E523C" w:rsidRPr="00EA05BB">
        <w:rPr>
          <w:rFonts w:ascii="Arial" w:hAnsi="Arial" w:cs="Arial"/>
        </w:rPr>
        <w:t>5</w:t>
      </w:r>
      <w:r w:rsidR="006E3CA6" w:rsidRPr="00EA05BB">
        <w:rPr>
          <w:rFonts w:ascii="Arial" w:hAnsi="Arial" w:cs="Arial"/>
        </w:rPr>
        <w:t xml:space="preserve">%) oraz </w:t>
      </w:r>
      <w:r w:rsidR="00DD1507" w:rsidRPr="00EA05BB">
        <w:rPr>
          <w:rFonts w:ascii="Arial" w:hAnsi="Arial" w:cs="Arial"/>
        </w:rPr>
        <w:t xml:space="preserve">3-letnie </w:t>
      </w:r>
      <w:r w:rsidR="00D00309" w:rsidRPr="00EA05BB">
        <w:rPr>
          <w:rFonts w:ascii="Arial" w:hAnsi="Arial" w:cs="Arial"/>
        </w:rPr>
        <w:t>(</w:t>
      </w:r>
      <w:r w:rsidR="007E523C" w:rsidRPr="00EA05BB">
        <w:rPr>
          <w:rFonts w:ascii="Arial" w:hAnsi="Arial" w:cs="Arial"/>
        </w:rPr>
        <w:t>2</w:t>
      </w:r>
      <w:r w:rsidR="00D00309" w:rsidRPr="00EA05BB">
        <w:rPr>
          <w:rFonts w:ascii="Arial" w:hAnsi="Arial" w:cs="Arial"/>
        </w:rPr>
        <w:t>%)</w:t>
      </w:r>
      <w:r w:rsidR="00CE0470" w:rsidRPr="00EA05BB">
        <w:rPr>
          <w:rFonts w:ascii="Arial" w:hAnsi="Arial" w:cs="Arial"/>
        </w:rPr>
        <w:t>.</w:t>
      </w:r>
    </w:p>
    <w:p w:rsidR="000C3C7C" w:rsidRDefault="00EA05BB" w:rsidP="007566A5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24DF959" wp14:editId="3463BC7A">
            <wp:extent cx="5392800" cy="256293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00" cy="256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108" w:rsidRPr="0096472A" w:rsidRDefault="007E3D74" w:rsidP="00F1790E">
      <w:pPr>
        <w:spacing w:line="360" w:lineRule="auto"/>
        <w:rPr>
          <w:rFonts w:ascii="Arial" w:hAnsi="Arial" w:cs="Arial"/>
          <w:i/>
          <w:iCs/>
          <w:highlight w:val="yellow"/>
        </w:rPr>
      </w:pPr>
      <w:r>
        <w:rPr>
          <w:rFonts w:ascii="Arial" w:hAnsi="Arial" w:cs="Arial"/>
          <w:i/>
          <w:iCs/>
        </w:rPr>
        <w:t xml:space="preserve">W październiku osiągnęliśmy najlepszy miesięczny wynik sprzedaży standardowych obligacji oszczędnościowych od </w:t>
      </w:r>
      <w:r w:rsidR="00E62E4A">
        <w:rPr>
          <w:rFonts w:ascii="Arial" w:hAnsi="Arial" w:cs="Arial"/>
          <w:i/>
          <w:iCs/>
        </w:rPr>
        <w:t>ośmiu lat</w:t>
      </w:r>
      <w:r>
        <w:rPr>
          <w:rFonts w:ascii="Arial" w:hAnsi="Arial" w:cs="Arial"/>
          <w:i/>
          <w:iCs/>
        </w:rPr>
        <w:t xml:space="preserve"> - 870 mln zł.  </w:t>
      </w:r>
      <w:r w:rsidR="00AE1235">
        <w:rPr>
          <w:rFonts w:ascii="Arial" w:hAnsi="Arial" w:cs="Arial"/>
          <w:i/>
          <w:iCs/>
        </w:rPr>
        <w:t>Nasi klienci</w:t>
      </w:r>
      <w:r w:rsidR="00F1790E" w:rsidRPr="00F1790E">
        <w:rPr>
          <w:rFonts w:ascii="Arial" w:hAnsi="Arial" w:cs="Arial"/>
          <w:i/>
          <w:iCs/>
        </w:rPr>
        <w:t xml:space="preserve"> docenili </w:t>
      </w:r>
      <w:r w:rsidR="00AE1235">
        <w:rPr>
          <w:rFonts w:ascii="Arial" w:hAnsi="Arial" w:cs="Arial"/>
          <w:i/>
          <w:iCs/>
        </w:rPr>
        <w:t xml:space="preserve">promocyjną cenę zamiany - </w:t>
      </w:r>
      <w:r w:rsidR="00F1790E" w:rsidRPr="00F1790E">
        <w:rPr>
          <w:rFonts w:ascii="Arial" w:hAnsi="Arial" w:cs="Arial"/>
          <w:i/>
          <w:iCs/>
        </w:rPr>
        <w:t xml:space="preserve"> </w:t>
      </w:r>
      <w:r w:rsidR="00FF1F00">
        <w:rPr>
          <w:rFonts w:ascii="Arial" w:hAnsi="Arial" w:cs="Arial"/>
          <w:i/>
          <w:iCs/>
        </w:rPr>
        <w:t>blisko</w:t>
      </w:r>
      <w:r w:rsidR="00F1790E" w:rsidRPr="00F1790E">
        <w:rPr>
          <w:rFonts w:ascii="Arial" w:hAnsi="Arial" w:cs="Arial"/>
          <w:i/>
          <w:iCs/>
        </w:rPr>
        <w:t xml:space="preserve"> 70% wszystkich posiadaczy obligacji oszczędnościowych zapadających w październiku</w:t>
      </w:r>
      <w:r w:rsidR="00AE1235">
        <w:rPr>
          <w:rFonts w:ascii="Arial" w:hAnsi="Arial" w:cs="Arial"/>
          <w:i/>
          <w:iCs/>
        </w:rPr>
        <w:t xml:space="preserve"> zdecydowało się przedłużyć oszczędzanie</w:t>
      </w:r>
      <w:r w:rsidR="00F1790E" w:rsidRPr="00F1790E">
        <w:rPr>
          <w:rFonts w:ascii="Arial" w:hAnsi="Arial" w:cs="Arial"/>
          <w:i/>
          <w:iCs/>
        </w:rPr>
        <w:t>. Znaczna część tego wyniku to rezultat zamiany zeszłorocznej emisji specjalnej</w:t>
      </w:r>
      <w:r w:rsidR="00995CD5">
        <w:rPr>
          <w:rFonts w:ascii="Arial" w:hAnsi="Arial" w:cs="Arial"/>
          <w:i/>
          <w:iCs/>
        </w:rPr>
        <w:t xml:space="preserve">. </w:t>
      </w:r>
      <w:r w:rsidR="00F1790E" w:rsidRPr="00F1790E">
        <w:rPr>
          <w:rFonts w:ascii="Arial" w:hAnsi="Arial" w:cs="Arial"/>
          <w:i/>
          <w:iCs/>
        </w:rPr>
        <w:t xml:space="preserve">Łączna sprzedaż obligacji </w:t>
      </w:r>
      <w:r w:rsidR="008B0DED">
        <w:rPr>
          <w:rFonts w:ascii="Arial" w:hAnsi="Arial" w:cs="Arial"/>
          <w:i/>
          <w:iCs/>
        </w:rPr>
        <w:t xml:space="preserve">oszczędnościowych </w:t>
      </w:r>
      <w:r w:rsidR="00995CD5">
        <w:rPr>
          <w:rFonts w:ascii="Arial" w:hAnsi="Arial" w:cs="Arial"/>
          <w:i/>
          <w:iCs/>
        </w:rPr>
        <w:t xml:space="preserve">od początku roku </w:t>
      </w:r>
      <w:r w:rsidR="00F1790E" w:rsidRPr="00F1790E">
        <w:rPr>
          <w:rFonts w:ascii="Arial" w:hAnsi="Arial" w:cs="Arial"/>
          <w:i/>
          <w:iCs/>
        </w:rPr>
        <w:t>przekroczyła już 4 mld złotych. To bardzo dobry wynik – najlepszy od 2008 roku. Atrakcyjne warunki oprocentowania</w:t>
      </w:r>
      <w:r w:rsidR="002E5706">
        <w:rPr>
          <w:rFonts w:ascii="Arial" w:hAnsi="Arial" w:cs="Arial"/>
          <w:i/>
          <w:iCs/>
        </w:rPr>
        <w:t xml:space="preserve"> i</w:t>
      </w:r>
      <w:r w:rsidR="00F1790E" w:rsidRPr="00F1790E">
        <w:rPr>
          <w:rFonts w:ascii="Arial" w:hAnsi="Arial" w:cs="Arial"/>
          <w:i/>
          <w:iCs/>
        </w:rPr>
        <w:t xml:space="preserve"> elastyczność</w:t>
      </w:r>
      <w:r w:rsidR="002E5706">
        <w:rPr>
          <w:rFonts w:ascii="Arial" w:hAnsi="Arial" w:cs="Arial"/>
          <w:i/>
          <w:iCs/>
        </w:rPr>
        <w:t xml:space="preserve"> </w:t>
      </w:r>
      <w:r w:rsidR="00F1790E" w:rsidRPr="00F1790E">
        <w:rPr>
          <w:rFonts w:ascii="Arial" w:hAnsi="Arial" w:cs="Arial"/>
          <w:i/>
          <w:iCs/>
        </w:rPr>
        <w:t xml:space="preserve">zapewniająca możliwość wycofania pieniędzy w razie </w:t>
      </w:r>
      <w:r w:rsidR="00F1790E" w:rsidRPr="00F1790E">
        <w:rPr>
          <w:rFonts w:ascii="Arial" w:hAnsi="Arial" w:cs="Arial"/>
          <w:i/>
          <w:iCs/>
        </w:rPr>
        <w:lastRenderedPageBreak/>
        <w:t>potrzeby</w:t>
      </w:r>
      <w:r w:rsidR="002E5706">
        <w:rPr>
          <w:rFonts w:ascii="Arial" w:hAnsi="Arial" w:cs="Arial"/>
          <w:i/>
          <w:iCs/>
        </w:rPr>
        <w:t xml:space="preserve"> –</w:t>
      </w:r>
      <w:r w:rsidR="00F1790E" w:rsidRPr="00F1790E">
        <w:rPr>
          <w:rFonts w:ascii="Arial" w:hAnsi="Arial" w:cs="Arial"/>
          <w:i/>
          <w:iCs/>
        </w:rPr>
        <w:t xml:space="preserve"> </w:t>
      </w:r>
      <w:r w:rsidR="009F44BA">
        <w:rPr>
          <w:rFonts w:ascii="Arial" w:hAnsi="Arial" w:cs="Arial"/>
          <w:i/>
          <w:iCs/>
        </w:rPr>
        <w:t>to</w:t>
      </w:r>
      <w:r w:rsidR="00F1790E" w:rsidRPr="00F1790E">
        <w:rPr>
          <w:rFonts w:ascii="Arial" w:hAnsi="Arial" w:cs="Arial"/>
          <w:i/>
          <w:iCs/>
        </w:rPr>
        <w:t xml:space="preserve"> </w:t>
      </w:r>
      <w:r w:rsidR="002E5706">
        <w:rPr>
          <w:rFonts w:ascii="Arial" w:hAnsi="Arial" w:cs="Arial"/>
          <w:i/>
          <w:iCs/>
        </w:rPr>
        <w:t xml:space="preserve">główne </w:t>
      </w:r>
      <w:r w:rsidR="002C18BB">
        <w:rPr>
          <w:rFonts w:ascii="Arial" w:hAnsi="Arial" w:cs="Arial"/>
          <w:i/>
          <w:iCs/>
        </w:rPr>
        <w:t xml:space="preserve">cechy </w:t>
      </w:r>
      <w:r w:rsidR="00F1790E" w:rsidRPr="00F1790E">
        <w:rPr>
          <w:rFonts w:ascii="Arial" w:hAnsi="Arial" w:cs="Arial"/>
          <w:i/>
          <w:iCs/>
        </w:rPr>
        <w:t>obligacji oszczędnościowych</w:t>
      </w:r>
      <w:r w:rsidR="009F44BA">
        <w:rPr>
          <w:rFonts w:ascii="Arial" w:hAnsi="Arial" w:cs="Arial"/>
          <w:i/>
          <w:iCs/>
        </w:rPr>
        <w:t xml:space="preserve">, które </w:t>
      </w:r>
      <w:r w:rsidR="00F1790E" w:rsidRPr="00F1790E">
        <w:rPr>
          <w:rFonts w:ascii="Arial" w:hAnsi="Arial" w:cs="Arial"/>
          <w:i/>
          <w:iCs/>
        </w:rPr>
        <w:t>coraz bardziej docenia</w:t>
      </w:r>
      <w:r w:rsidR="002E5706">
        <w:rPr>
          <w:rFonts w:ascii="Arial" w:hAnsi="Arial" w:cs="Arial"/>
          <w:i/>
          <w:iCs/>
        </w:rPr>
        <w:t>ją</w:t>
      </w:r>
      <w:r w:rsidR="00F1790E" w:rsidRPr="00F1790E">
        <w:rPr>
          <w:rFonts w:ascii="Arial" w:hAnsi="Arial" w:cs="Arial"/>
          <w:i/>
          <w:iCs/>
        </w:rPr>
        <w:t xml:space="preserve"> </w:t>
      </w:r>
      <w:r w:rsidR="002E5706">
        <w:rPr>
          <w:rFonts w:ascii="Arial" w:hAnsi="Arial" w:cs="Arial"/>
          <w:i/>
          <w:iCs/>
        </w:rPr>
        <w:t xml:space="preserve">nasi </w:t>
      </w:r>
      <w:r w:rsidR="00F1790E" w:rsidRPr="00F1790E">
        <w:rPr>
          <w:rFonts w:ascii="Arial" w:hAnsi="Arial" w:cs="Arial"/>
          <w:i/>
          <w:iCs/>
        </w:rPr>
        <w:t>klien</w:t>
      </w:r>
      <w:r w:rsidR="002E5706">
        <w:rPr>
          <w:rFonts w:ascii="Arial" w:hAnsi="Arial" w:cs="Arial"/>
          <w:i/>
          <w:iCs/>
        </w:rPr>
        <w:t>ci</w:t>
      </w:r>
      <w:r w:rsidR="00F1790E" w:rsidRPr="00F1790E">
        <w:rPr>
          <w:rFonts w:ascii="Arial" w:hAnsi="Arial" w:cs="Arial"/>
          <w:i/>
          <w:iCs/>
        </w:rPr>
        <w:t xml:space="preserve"> - </w:t>
      </w:r>
      <w:r w:rsidR="00F1790E" w:rsidRPr="00135F56">
        <w:rPr>
          <w:rFonts w:ascii="Arial" w:hAnsi="Arial" w:cs="Arial"/>
          <w:b/>
          <w:i/>
          <w:iCs/>
        </w:rPr>
        <w:t xml:space="preserve">komentuje Piotr Nowak, </w:t>
      </w:r>
      <w:r w:rsidR="008E09FF" w:rsidRPr="00135F56">
        <w:rPr>
          <w:rFonts w:ascii="Arial" w:hAnsi="Arial" w:cs="Arial"/>
          <w:b/>
          <w:i/>
          <w:iCs/>
        </w:rPr>
        <w:t>podsekretarz stanu w M</w:t>
      </w:r>
      <w:r w:rsidR="00F1790E" w:rsidRPr="00135F56">
        <w:rPr>
          <w:rFonts w:ascii="Arial" w:hAnsi="Arial" w:cs="Arial"/>
          <w:b/>
          <w:i/>
          <w:iCs/>
        </w:rPr>
        <w:t>inister</w:t>
      </w:r>
      <w:r w:rsidR="008E09FF" w:rsidRPr="00135F56">
        <w:rPr>
          <w:rFonts w:ascii="Arial" w:hAnsi="Arial" w:cs="Arial"/>
          <w:b/>
          <w:i/>
          <w:iCs/>
        </w:rPr>
        <w:t>stwie</w:t>
      </w:r>
      <w:r w:rsidR="00F1790E" w:rsidRPr="00135F56">
        <w:rPr>
          <w:rFonts w:ascii="Arial" w:hAnsi="Arial" w:cs="Arial"/>
          <w:b/>
          <w:i/>
          <w:iCs/>
        </w:rPr>
        <w:t xml:space="preserve"> </w:t>
      </w:r>
      <w:r w:rsidR="008E09FF" w:rsidRPr="00135F56">
        <w:rPr>
          <w:rFonts w:ascii="Arial" w:hAnsi="Arial" w:cs="Arial"/>
          <w:b/>
          <w:i/>
          <w:iCs/>
        </w:rPr>
        <w:t>F</w:t>
      </w:r>
      <w:r w:rsidR="00F1790E" w:rsidRPr="00135F56">
        <w:rPr>
          <w:rFonts w:ascii="Arial" w:hAnsi="Arial" w:cs="Arial"/>
          <w:b/>
          <w:i/>
          <w:iCs/>
        </w:rPr>
        <w:t>inansów</w:t>
      </w:r>
      <w:r w:rsidR="00F1790E" w:rsidRPr="00F1790E">
        <w:rPr>
          <w:rFonts w:ascii="Arial" w:hAnsi="Arial" w:cs="Arial"/>
          <w:i/>
          <w:iCs/>
        </w:rPr>
        <w:t>.</w:t>
      </w:r>
    </w:p>
    <w:p w:rsidR="008E09FF" w:rsidRPr="008E09FF" w:rsidRDefault="008E09FF" w:rsidP="008E09FF">
      <w:pPr>
        <w:spacing w:line="360" w:lineRule="auto"/>
        <w:jc w:val="both"/>
        <w:rPr>
          <w:rFonts w:ascii="Arial" w:hAnsi="Arial" w:cs="Arial"/>
        </w:rPr>
      </w:pPr>
      <w:r w:rsidRPr="008E09FF">
        <w:rPr>
          <w:rFonts w:ascii="Arial" w:hAnsi="Arial" w:cs="Arial"/>
        </w:rPr>
        <w:t xml:space="preserve">W październiku, pierwszych nabywców znalazły również nowe obligacje dedykowane beneficjentom programu </w:t>
      </w:r>
      <w:r w:rsidR="00F2178D">
        <w:rPr>
          <w:rFonts w:ascii="Arial" w:hAnsi="Arial" w:cs="Arial"/>
        </w:rPr>
        <w:t xml:space="preserve">Rodzina </w:t>
      </w:r>
      <w:r w:rsidRPr="008E09FF">
        <w:rPr>
          <w:rFonts w:ascii="Arial" w:hAnsi="Arial" w:cs="Arial"/>
        </w:rPr>
        <w:t>500</w:t>
      </w:r>
      <w:r w:rsidR="00F2178D">
        <w:rPr>
          <w:rFonts w:ascii="Arial" w:hAnsi="Arial" w:cs="Arial"/>
        </w:rPr>
        <w:t>+</w:t>
      </w:r>
      <w:r w:rsidRPr="008E09FF">
        <w:rPr>
          <w:rFonts w:ascii="Arial" w:hAnsi="Arial" w:cs="Arial"/>
        </w:rPr>
        <w:t>. Na zakup obligacji rodzinnych przeznaczonych zostało 783 tys. złotych otrzymanych w ramach programu Rodzina 500</w:t>
      </w:r>
      <w:r w:rsidR="00F2178D">
        <w:rPr>
          <w:rFonts w:ascii="Arial" w:hAnsi="Arial" w:cs="Arial"/>
        </w:rPr>
        <w:t>+.</w:t>
      </w:r>
      <w:r w:rsidRPr="008E09FF">
        <w:rPr>
          <w:rFonts w:ascii="Arial" w:hAnsi="Arial" w:cs="Arial"/>
        </w:rPr>
        <w:t xml:space="preserve"> Obligacje rodzinne kierowane są wyłącznie do osób, otrzymujących świadczenie w ramach programu Rodzina 500</w:t>
      </w:r>
      <w:r w:rsidR="00F2178D">
        <w:rPr>
          <w:rFonts w:ascii="Arial" w:hAnsi="Arial" w:cs="Arial"/>
        </w:rPr>
        <w:t>+</w:t>
      </w:r>
      <w:r w:rsidRPr="008E09FF">
        <w:rPr>
          <w:rFonts w:ascii="Arial" w:hAnsi="Arial" w:cs="Arial"/>
        </w:rPr>
        <w:t xml:space="preserve">, które chcą oszczędzać na przyszłe potrzeby swoich dzieci. Beneficjenci programu mogą nabywać ten rodzaj obligacji do wysokości kwoty przyznanego świadczenia wychowawczego. Obligacje rodzinne są dostępne w ciągłej sprzedaży, zatem ich zakupu można dokonać w dowolnym momencie. </w:t>
      </w:r>
    </w:p>
    <w:p w:rsidR="00862085" w:rsidRPr="008E09FF" w:rsidRDefault="008E09FF" w:rsidP="008E09FF">
      <w:pPr>
        <w:spacing w:line="360" w:lineRule="auto"/>
        <w:jc w:val="both"/>
        <w:rPr>
          <w:rFonts w:ascii="Arial" w:hAnsi="Arial" w:cs="Arial"/>
          <w:i/>
        </w:rPr>
      </w:pPr>
      <w:r w:rsidRPr="008E09FF">
        <w:rPr>
          <w:rFonts w:ascii="Arial" w:hAnsi="Arial" w:cs="Arial"/>
          <w:i/>
        </w:rPr>
        <w:t>Dostępna kwota, jaką beneficjenci</w:t>
      </w:r>
      <w:r w:rsidR="00F2178D">
        <w:rPr>
          <w:rFonts w:ascii="Arial" w:hAnsi="Arial" w:cs="Arial"/>
          <w:i/>
        </w:rPr>
        <w:t xml:space="preserve"> </w:t>
      </w:r>
      <w:r w:rsidRPr="008E09FF">
        <w:rPr>
          <w:rFonts w:ascii="Arial" w:hAnsi="Arial" w:cs="Arial"/>
          <w:i/>
        </w:rPr>
        <w:t xml:space="preserve">programu Rodzina 500+ mogą przeznaczyć na zakup obligacji rodzinnych, narasta z każdym miesiącem. Zakładamy, że popyt na te instrumenty będzie się ujawniał sukcesywnie – co obserwujemy już w pierwszej dekadzie </w:t>
      </w:r>
      <w:r w:rsidR="003B3E99">
        <w:rPr>
          <w:rFonts w:ascii="Arial" w:hAnsi="Arial" w:cs="Arial"/>
          <w:i/>
        </w:rPr>
        <w:t>l</w:t>
      </w:r>
      <w:r w:rsidRPr="008E09FF">
        <w:rPr>
          <w:rFonts w:ascii="Arial" w:hAnsi="Arial" w:cs="Arial"/>
          <w:i/>
        </w:rPr>
        <w:t>istopada</w:t>
      </w:r>
      <w:r w:rsidR="003B3E99">
        <w:rPr>
          <w:rFonts w:ascii="Arial" w:hAnsi="Arial" w:cs="Arial"/>
          <w:i/>
        </w:rPr>
        <w:t xml:space="preserve">, w której </w:t>
      </w:r>
      <w:r w:rsidR="00C763FA">
        <w:rPr>
          <w:rFonts w:ascii="Arial" w:hAnsi="Arial" w:cs="Arial"/>
          <w:i/>
        </w:rPr>
        <w:t>kupiono wyraźnie więcej</w:t>
      </w:r>
      <w:r w:rsidR="00916ECC">
        <w:rPr>
          <w:rFonts w:ascii="Arial" w:hAnsi="Arial" w:cs="Arial"/>
          <w:i/>
        </w:rPr>
        <w:t xml:space="preserve"> </w:t>
      </w:r>
      <w:r w:rsidR="003B3E99">
        <w:rPr>
          <w:rFonts w:ascii="Arial" w:hAnsi="Arial" w:cs="Arial"/>
          <w:i/>
        </w:rPr>
        <w:t>obligacji</w:t>
      </w:r>
      <w:r w:rsidR="00C763FA">
        <w:rPr>
          <w:rFonts w:ascii="Arial" w:hAnsi="Arial" w:cs="Arial"/>
          <w:i/>
        </w:rPr>
        <w:t xml:space="preserve"> rodzinnych </w:t>
      </w:r>
      <w:r w:rsidR="003B3E99">
        <w:rPr>
          <w:rFonts w:ascii="Arial" w:hAnsi="Arial" w:cs="Arial"/>
          <w:i/>
        </w:rPr>
        <w:t>niż w tym samym okresie października</w:t>
      </w:r>
      <w:r w:rsidRPr="008E09FF">
        <w:rPr>
          <w:rFonts w:ascii="Arial" w:hAnsi="Arial" w:cs="Arial"/>
          <w:i/>
        </w:rPr>
        <w:t>.</w:t>
      </w:r>
      <w:r w:rsidR="00916ECC">
        <w:rPr>
          <w:rFonts w:ascii="Arial" w:hAnsi="Arial" w:cs="Arial"/>
          <w:i/>
        </w:rPr>
        <w:t xml:space="preserve"> </w:t>
      </w:r>
      <w:r w:rsidRPr="008E09FF">
        <w:rPr>
          <w:rFonts w:ascii="Arial" w:hAnsi="Arial" w:cs="Arial"/>
          <w:i/>
        </w:rPr>
        <w:t xml:space="preserve">Preferencyjne warunki oprocentowania zostały utrzymane – co oznacza, że </w:t>
      </w:r>
      <w:r w:rsidR="00A93ACF">
        <w:rPr>
          <w:rFonts w:ascii="Arial" w:hAnsi="Arial" w:cs="Arial"/>
          <w:i/>
        </w:rPr>
        <w:t xml:space="preserve">w pierwszym roku oszczędzania </w:t>
      </w:r>
      <w:r w:rsidRPr="008E09FF">
        <w:rPr>
          <w:rFonts w:ascii="Arial" w:hAnsi="Arial" w:cs="Arial"/>
          <w:i/>
        </w:rPr>
        <w:t xml:space="preserve">nabywcy </w:t>
      </w:r>
      <w:r w:rsidR="009F44BA">
        <w:rPr>
          <w:rFonts w:ascii="Arial" w:hAnsi="Arial" w:cs="Arial"/>
          <w:i/>
        </w:rPr>
        <w:t>mogą liczyć na zysk w wysokości 2,60</w:t>
      </w:r>
      <w:r w:rsidR="009F44BA" w:rsidRPr="008E09FF">
        <w:rPr>
          <w:rFonts w:ascii="Arial" w:hAnsi="Arial" w:cs="Arial"/>
          <w:i/>
        </w:rPr>
        <w:t>%</w:t>
      </w:r>
      <w:r w:rsidR="009F44BA">
        <w:rPr>
          <w:rFonts w:ascii="Arial" w:hAnsi="Arial" w:cs="Arial"/>
          <w:i/>
        </w:rPr>
        <w:t xml:space="preserve"> w przypadku obligacji 6-letnich oraz 3</w:t>
      </w:r>
      <w:r w:rsidR="009F44BA" w:rsidRPr="008E09FF">
        <w:rPr>
          <w:rFonts w:ascii="Arial" w:hAnsi="Arial" w:cs="Arial"/>
          <w:i/>
        </w:rPr>
        <w:t>%</w:t>
      </w:r>
      <w:r w:rsidR="009F44BA">
        <w:rPr>
          <w:rFonts w:ascii="Arial" w:hAnsi="Arial" w:cs="Arial"/>
          <w:i/>
        </w:rPr>
        <w:t xml:space="preserve"> </w:t>
      </w:r>
      <w:r w:rsidR="00A93ACF">
        <w:rPr>
          <w:rFonts w:ascii="Arial" w:hAnsi="Arial" w:cs="Arial"/>
          <w:i/>
        </w:rPr>
        <w:t xml:space="preserve">w przypadku obligacji </w:t>
      </w:r>
      <w:r w:rsidRPr="008E09FF">
        <w:rPr>
          <w:rFonts w:ascii="Arial" w:hAnsi="Arial" w:cs="Arial"/>
          <w:i/>
        </w:rPr>
        <w:t>12-letnich. Tak atrakcyj</w:t>
      </w:r>
      <w:r w:rsidR="00C763FA">
        <w:rPr>
          <w:rFonts w:ascii="Arial" w:hAnsi="Arial" w:cs="Arial"/>
          <w:i/>
        </w:rPr>
        <w:t>na oferta umożliwia regularne i </w:t>
      </w:r>
      <w:r w:rsidRPr="008E09FF">
        <w:rPr>
          <w:rFonts w:ascii="Arial" w:hAnsi="Arial" w:cs="Arial"/>
          <w:i/>
        </w:rPr>
        <w:t xml:space="preserve">bezpieczne gromadzenie środków otrzymanych z </w:t>
      </w:r>
      <w:r w:rsidR="00F2178D">
        <w:rPr>
          <w:rFonts w:ascii="Arial" w:hAnsi="Arial" w:cs="Arial"/>
          <w:i/>
        </w:rPr>
        <w:t>p</w:t>
      </w:r>
      <w:r w:rsidRPr="008E09FF">
        <w:rPr>
          <w:rFonts w:ascii="Arial" w:hAnsi="Arial" w:cs="Arial"/>
          <w:i/>
        </w:rPr>
        <w:t xml:space="preserve">rogramu </w:t>
      </w:r>
      <w:r w:rsidR="00F2178D">
        <w:rPr>
          <w:rFonts w:ascii="Arial" w:hAnsi="Arial" w:cs="Arial"/>
          <w:i/>
        </w:rPr>
        <w:t xml:space="preserve">Rodzina </w:t>
      </w:r>
      <w:r w:rsidRPr="008E09FF">
        <w:rPr>
          <w:rFonts w:ascii="Arial" w:hAnsi="Arial" w:cs="Arial"/>
          <w:i/>
        </w:rPr>
        <w:t xml:space="preserve">500+ na przyszłe potrzeby dzieci – </w:t>
      </w:r>
      <w:r w:rsidRPr="00135F56">
        <w:rPr>
          <w:rFonts w:ascii="Arial" w:hAnsi="Arial" w:cs="Arial"/>
          <w:b/>
          <w:i/>
        </w:rPr>
        <w:t>komentuje Piotr Nowak,</w:t>
      </w:r>
      <w:r w:rsidRPr="00135F56">
        <w:rPr>
          <w:rFonts w:ascii="Arial" w:hAnsi="Arial" w:cs="Arial"/>
          <w:b/>
          <w:i/>
          <w:iCs/>
        </w:rPr>
        <w:t xml:space="preserve"> podsekretarz stanu w Ministerstwie Finansów</w:t>
      </w:r>
      <w:r w:rsidRPr="008E09FF">
        <w:rPr>
          <w:rFonts w:ascii="Arial" w:hAnsi="Arial" w:cs="Arial"/>
          <w:i/>
        </w:rPr>
        <w:t>.</w:t>
      </w:r>
    </w:p>
    <w:p w:rsidR="00C4343F" w:rsidRDefault="00C434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04161" w:rsidRDefault="00104161" w:rsidP="00104161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Obligacje oferowane w sprze</w:t>
      </w:r>
      <w:r w:rsidR="008440EE">
        <w:rPr>
          <w:rFonts w:ascii="Arial" w:hAnsi="Arial" w:cs="Arial"/>
          <w:b/>
        </w:rPr>
        <w:t xml:space="preserve">daży detalicznej w </w:t>
      </w:r>
      <w:r w:rsidR="00927E13">
        <w:rPr>
          <w:rFonts w:ascii="Arial" w:hAnsi="Arial" w:cs="Arial"/>
          <w:b/>
        </w:rPr>
        <w:t>listopadzie</w:t>
      </w:r>
      <w:r w:rsidR="008440EE">
        <w:rPr>
          <w:rFonts w:ascii="Arial" w:hAnsi="Arial" w:cs="Arial"/>
          <w:b/>
        </w:rPr>
        <w:t xml:space="preserve"> 2016</w:t>
      </w:r>
      <w:r>
        <w:rPr>
          <w:rFonts w:ascii="Arial" w:hAnsi="Arial" w:cs="Arial"/>
          <w:b/>
        </w:rPr>
        <w:t xml:space="preserve"> roku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4"/>
        <w:gridCol w:w="5966"/>
        <w:gridCol w:w="1718"/>
      </w:tblGrid>
      <w:tr w:rsidR="006A20D4" w:rsidTr="00484430">
        <w:trPr>
          <w:trHeight w:val="54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Typ obligacji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D4" w:rsidRPr="002978D4" w:rsidRDefault="006A20D4" w:rsidP="00484430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b/>
                <w:snapToGrid w:val="0"/>
                <w:sz w:val="18"/>
                <w:szCs w:val="18"/>
              </w:rPr>
              <w:t>Szczegóły oferty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Default="001671F3" w:rsidP="001671F3">
            <w:pPr>
              <w:spacing w:after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Cena sprzedaży</w:t>
            </w:r>
          </w:p>
        </w:tc>
      </w:tr>
      <w:tr w:rsidR="006A20D4" w:rsidTr="008D33E9">
        <w:trPr>
          <w:trHeight w:hRule="exact" w:val="130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DOS</w:t>
            </w:r>
            <w:r w:rsidR="003C54E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927E1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18</w:t>
            </w:r>
          </w:p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2-letnie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D4" w:rsidRPr="0072321B" w:rsidRDefault="006A20D4" w:rsidP="007B2F5B">
            <w:pPr>
              <w:spacing w:after="0"/>
              <w:rPr>
                <w:rFonts w:ascii="Arial" w:hAnsi="Arial" w:cs="Arial"/>
                <w:snapToGrid w:val="0"/>
                <w:sz w:val="14"/>
                <w:szCs w:val="18"/>
              </w:rPr>
            </w:pPr>
            <w:r w:rsidRPr="0072321B">
              <w:rPr>
                <w:rFonts w:ascii="Arial" w:eastAsia="MS Mincho" w:hAnsi="Arial" w:cs="Arial"/>
                <w:color w:val="000000"/>
                <w:sz w:val="18"/>
                <w:szCs w:val="20"/>
                <w:lang w:eastAsia="x-none"/>
              </w:rPr>
              <w:t xml:space="preserve">Obligacje dwuletnie są obligacjami o oprocentowaniu stałym wynoszącym </w:t>
            </w:r>
            <w:r>
              <w:rPr>
                <w:rFonts w:ascii="Arial" w:eastAsia="MS Mincho" w:hAnsi="Arial" w:cs="Arial"/>
                <w:b/>
                <w:color w:val="000000"/>
                <w:sz w:val="18"/>
                <w:szCs w:val="20"/>
                <w:lang w:eastAsia="x-none"/>
              </w:rPr>
              <w:t>2,0</w:t>
            </w:r>
            <w:r w:rsidRPr="00B75F3D">
              <w:rPr>
                <w:rFonts w:ascii="Arial" w:eastAsia="MS Mincho" w:hAnsi="Arial" w:cs="Arial"/>
                <w:b/>
                <w:color w:val="000000"/>
                <w:sz w:val="18"/>
                <w:szCs w:val="20"/>
                <w:lang w:eastAsia="x-none"/>
              </w:rPr>
              <w:t>0%</w:t>
            </w:r>
            <w:r w:rsidRPr="001E1B54">
              <w:rPr>
                <w:rFonts w:ascii="Arial" w:eastAsia="MS Mincho" w:hAnsi="Arial" w:cs="Arial"/>
                <w:color w:val="000000"/>
                <w:sz w:val="18"/>
                <w:szCs w:val="20"/>
                <w:lang w:eastAsia="x-none"/>
              </w:rPr>
              <w:t xml:space="preserve"> rocznie. W pierwszym roku oprocentowanie jest naliczane od wartości 100 zł, a w drugim roku od wartości powiększonej o odsetki za pierwszy rok (tzw. kapitalizacja odsetek).</w:t>
            </w:r>
            <w:r w:rsidRPr="0072321B">
              <w:rPr>
                <w:rFonts w:ascii="Arial" w:hAnsi="Arial" w:cs="Arial"/>
                <w:bCs/>
                <w:color w:val="808080" w:themeColor="background1" w:themeShade="80"/>
                <w:sz w:val="18"/>
              </w:rPr>
              <w:t xml:space="preserve"> </w:t>
            </w:r>
            <w:r w:rsidRPr="0072321B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Odsetki są wypłacane </w:t>
            </w:r>
            <w:r w:rsidRPr="0072321B">
              <w:rPr>
                <w:rFonts w:ascii="Arial" w:eastAsia="MS Mincho" w:hAnsi="Arial" w:cs="Arial"/>
                <w:color w:val="000000"/>
                <w:sz w:val="18"/>
                <w:szCs w:val="20"/>
                <w:lang w:eastAsia="x-none"/>
              </w:rPr>
              <w:t>po zakończeniu oszczędzania.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Pr="00E111A4" w:rsidRDefault="006A20D4" w:rsidP="007E1FF8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</w:p>
          <w:p w:rsidR="006A20D4" w:rsidRPr="002978D4" w:rsidRDefault="006A20D4" w:rsidP="00927E1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99,</w:t>
            </w:r>
            <w:r w:rsidR="00927E13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 przy zamianie</w:t>
            </w:r>
          </w:p>
        </w:tc>
      </w:tr>
      <w:tr w:rsidR="006A20D4" w:rsidTr="00484430">
        <w:trPr>
          <w:trHeight w:hRule="exact" w:val="125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TOZ</w:t>
            </w:r>
            <w:r w:rsidR="003C54E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927E1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19</w:t>
            </w:r>
          </w:p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3-letnie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D4" w:rsidRPr="00E111A4" w:rsidRDefault="006A20D4" w:rsidP="007E1FF8">
            <w:pPr>
              <w:spacing w:after="0"/>
              <w:rPr>
                <w:rFonts w:ascii="Arial" w:eastAsia="MS Mincho" w:hAnsi="Arial" w:cs="Arial"/>
                <w:color w:val="000000"/>
                <w:sz w:val="18"/>
                <w:szCs w:val="20"/>
                <w:lang w:eastAsia="x-none"/>
              </w:rPr>
            </w:pP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Obligacje trzyletnie są obligacjami o zmiennym oprocentowaniu. W pierwszych sześciu miesiącach oprocentowanie </w:t>
            </w:r>
            <w:r w:rsidRPr="0072321B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wynosi </w:t>
            </w:r>
            <w:r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2,1</w:t>
            </w:r>
            <w:r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0%</w:t>
            </w:r>
            <w:r w:rsidRPr="00751323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.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W kolejnych okresach równe jest oprocentowaniu po jakim banki pożyczają sobie pieniądze (tzw. stawka WIBOR 6M</w:t>
            </w:r>
            <w:r w:rsidRPr="005F16D9">
              <w:rPr>
                <w:rFonts w:ascii="Arial" w:eastAsia="MS Mincho" w:hAnsi="Arial" w:cs="Arial"/>
                <w:sz w:val="18"/>
                <w:szCs w:val="20"/>
                <w:vertAlign w:val="superscript"/>
                <w:lang w:eastAsia="x-none"/>
              </w:rPr>
              <w:t>1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). Odsetki są wypłacane co sześć miesięcy.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Default="006A20D4" w:rsidP="007E1FF8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</w:p>
          <w:p w:rsidR="006A20D4" w:rsidRPr="002978D4" w:rsidRDefault="006A20D4" w:rsidP="00927E1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99,</w:t>
            </w:r>
            <w:r w:rsidR="00927E13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 przy zamianie</w:t>
            </w:r>
          </w:p>
        </w:tc>
      </w:tr>
      <w:tr w:rsidR="006A20D4" w:rsidTr="007B6310">
        <w:trPr>
          <w:trHeight w:hRule="exact" w:val="127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COI</w:t>
            </w:r>
            <w:r w:rsidR="003C54E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927E1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</w:t>
            </w:r>
          </w:p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4-letnie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D4" w:rsidRPr="00E111A4" w:rsidRDefault="006A20D4" w:rsidP="007E1FF8">
            <w:pPr>
              <w:spacing w:after="0"/>
              <w:rPr>
                <w:rFonts w:ascii="Arial" w:eastAsia="MS Mincho" w:hAnsi="Arial" w:cs="Arial"/>
                <w:color w:val="000000"/>
                <w:sz w:val="18"/>
                <w:szCs w:val="20"/>
                <w:lang w:eastAsia="x-none"/>
              </w:rPr>
            </w:pP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Obligacje czteroletnie są obligacjami, których oprocentowanie oparte jest o inflację</w:t>
            </w:r>
            <w:r>
              <w:rPr>
                <w:rFonts w:ascii="Arial" w:eastAsia="MS Mincho" w:hAnsi="Arial" w:cs="Arial"/>
                <w:sz w:val="18"/>
                <w:szCs w:val="20"/>
                <w:vertAlign w:val="superscript"/>
                <w:lang w:eastAsia="x-none"/>
              </w:rPr>
              <w:t>2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Oprocentowanie w pierwszym roku oszczędzania wynosi </w:t>
            </w:r>
            <w:r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2,30%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. W kolejnych latach oprocentowanie jest równe inflacji i stałej marży wynoszącej 1,25% (gwarantującej zysk powyżej inflacji). Odsetki są wypłacane po każdym roku oszczędzania.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20D4" w:rsidRDefault="006A20D4" w:rsidP="007E1FF8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</w:p>
          <w:p w:rsidR="006A20D4" w:rsidRPr="002978D4" w:rsidRDefault="006A20D4" w:rsidP="00927E1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99,</w:t>
            </w:r>
            <w:r w:rsidR="00927E13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 przy zamianie</w:t>
            </w:r>
          </w:p>
        </w:tc>
      </w:tr>
      <w:tr w:rsidR="006A20D4" w:rsidTr="007B6310">
        <w:trPr>
          <w:trHeight w:hRule="exact" w:val="198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EDO</w:t>
            </w:r>
            <w:r w:rsidR="003C54EB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927E1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26</w:t>
            </w:r>
          </w:p>
          <w:p w:rsidR="006A20D4" w:rsidRPr="001F0459" w:rsidRDefault="006A20D4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1F0459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10-letnie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0D4" w:rsidRPr="002978D4" w:rsidRDefault="006A20D4" w:rsidP="007E1FF8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Obligacje dziesięcioletnie są obligacjami, których oprocentowanie oparte jest o inflację</w:t>
            </w:r>
            <w:r>
              <w:rPr>
                <w:rFonts w:ascii="Arial" w:eastAsia="MS Mincho" w:hAnsi="Arial" w:cs="Arial"/>
                <w:sz w:val="18"/>
                <w:szCs w:val="20"/>
                <w:vertAlign w:val="superscript"/>
                <w:lang w:eastAsia="x-none"/>
              </w:rPr>
              <w:t>2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Oprocentowanie w pierwszym roku oszczędzania wynosi </w:t>
            </w:r>
            <w:r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2,50%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. W kolejnych latach oprocentowanie jest równe inflacji i stałej marży wynoszącej 1,50% (gwarantującej zysk powyżej inflacji). W pierwszym roku oprocentowanie jest naliczane od wartości 100 zł, a w kolejnych latach od wartości powiększonej o odsetki naliczone za poprzedni rok (tzw. kapitalizacja odsetek). Odsetki są wypłacane po zakończeniu oszczędzania.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20D4" w:rsidRDefault="006A20D4" w:rsidP="007E1FF8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 xml:space="preserve">; </w:t>
            </w:r>
          </w:p>
          <w:p w:rsidR="006A20D4" w:rsidRPr="002978D4" w:rsidRDefault="006A20D4" w:rsidP="00927E1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99,</w:t>
            </w:r>
            <w:r w:rsidR="00927E13">
              <w:rPr>
                <w:rFonts w:ascii="Arial" w:hAnsi="Arial" w:cs="Arial"/>
                <w:snapToGrid w:val="0"/>
                <w:sz w:val="18"/>
                <w:szCs w:val="18"/>
              </w:rPr>
              <w:t>9</w:t>
            </w:r>
            <w:r w:rsidRPr="00010662"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przy zamianie</w:t>
            </w:r>
          </w:p>
        </w:tc>
      </w:tr>
      <w:tr w:rsidR="0084334F" w:rsidTr="007B6310">
        <w:trPr>
          <w:trHeight w:hRule="exact" w:val="2477"/>
          <w:jc w:val="center"/>
        </w:trPr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34F" w:rsidRDefault="0084334F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ROS</w:t>
            </w:r>
            <w:r w:rsidR="00B339B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927E1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B339B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22</w:t>
            </w:r>
          </w:p>
          <w:p w:rsidR="0084334F" w:rsidRPr="001F0459" w:rsidRDefault="0084334F" w:rsidP="007E1FF8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6-letnie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Pr="00E111A4" w:rsidRDefault="00AA16D4" w:rsidP="00A466E5">
            <w:pPr>
              <w:spacing w:after="0"/>
              <w:rPr>
                <w:rFonts w:ascii="Arial" w:eastAsia="MS Mincho" w:hAnsi="Arial" w:cs="Arial"/>
                <w:sz w:val="18"/>
                <w:szCs w:val="20"/>
                <w:lang w:eastAsia="x-none"/>
              </w:rPr>
            </w:pP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Rodzinne Obligacje </w:t>
            </w:r>
            <w:r w:rsidR="00A466E5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S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ześ</w:t>
            </w:r>
            <w:r w:rsidR="001512E7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cioletnie są obligacjami</w:t>
            </w:r>
            <w:r w:rsidR="001512E7">
              <w:t xml:space="preserve"> </w:t>
            </w: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przeznaczon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ymi</w:t>
            </w: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dla beneficjentów programu Rodzina 500</w:t>
            </w:r>
            <w:r w:rsidR="00F2178D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+</w:t>
            </w: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Ich 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oprocentowanie 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jest </w:t>
            </w:r>
            <w:r w:rsidR="008D33E9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preferencyjne w stosunku 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d</w:t>
            </w:r>
            <w:r w:rsidR="008D33E9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o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obligacji znajdując</w:t>
            </w:r>
            <w:r w:rsidR="007E1FF8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ych</w:t>
            </w:r>
            <w:r w:rsidR="001512E7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się w standardowej ofercie</w:t>
            </w:r>
            <w:r w:rsidR="008D33E9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i o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parte jest o inflację</w:t>
            </w:r>
            <w:r w:rsidR="0084334F">
              <w:rPr>
                <w:rFonts w:ascii="Arial" w:eastAsia="MS Mincho" w:hAnsi="Arial" w:cs="Arial"/>
                <w:sz w:val="18"/>
                <w:szCs w:val="20"/>
                <w:vertAlign w:val="superscript"/>
                <w:lang w:eastAsia="x-none"/>
              </w:rPr>
              <w:t>2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Oprocentowanie w pierwszym roku oszczędzania wynosi </w:t>
            </w:r>
            <w:r w:rsidR="0084334F"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2,</w:t>
            </w:r>
            <w:r w:rsidR="0084334F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6</w:t>
            </w:r>
            <w:r w:rsidR="0084334F"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0%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W kolejnych latach oprocentowanie jest równe inflacji i stałej marży wynoszącej </w:t>
            </w:r>
            <w:r w:rsidR="0084334F" w:rsidRPr="00433DA8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1,75%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(gwarantującej zysk powyżej inflacji). W pierwszym roku oprocentowanie jest naliczane od wartości 100 zł, a w kolejnych latach od wartości powiększonej o odsetki naliczone za poprzedni rok (tzw. kapitalizacja odsetek). Odsetki są wypłacane po zakończeniu oszczędzania.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34F" w:rsidRPr="002978D4" w:rsidRDefault="0084334F" w:rsidP="007E1FF8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</w:p>
        </w:tc>
      </w:tr>
      <w:tr w:rsidR="0084334F" w:rsidTr="008D33E9">
        <w:trPr>
          <w:trHeight w:hRule="exact" w:val="248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34F" w:rsidRDefault="0084334F" w:rsidP="0084334F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ROD</w:t>
            </w:r>
            <w:r w:rsidR="00B339B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927E13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</w:t>
            </w:r>
            <w:r w:rsidR="00B339B6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28</w:t>
            </w:r>
          </w:p>
          <w:p w:rsidR="0084334F" w:rsidRPr="001F0459" w:rsidRDefault="0084334F" w:rsidP="0084334F">
            <w:pPr>
              <w:spacing w:after="0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12-letnie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4F" w:rsidRPr="00E111A4" w:rsidRDefault="001512E7" w:rsidP="00A466E5">
            <w:pPr>
              <w:spacing w:after="0"/>
              <w:rPr>
                <w:rFonts w:ascii="Arial" w:eastAsia="MS Mincho" w:hAnsi="Arial" w:cs="Arial"/>
                <w:sz w:val="18"/>
                <w:szCs w:val="20"/>
                <w:lang w:eastAsia="x-none"/>
              </w:rPr>
            </w:pP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Rodzinne Obligacje </w:t>
            </w:r>
            <w:r w:rsidR="00A466E5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D</w:t>
            </w:r>
            <w:r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wunasto</w:t>
            </w:r>
            <w:r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letnie są obligacjami</w:t>
            </w:r>
            <w:r>
              <w:t xml:space="preserve"> </w:t>
            </w: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przeznaczon</w:t>
            </w:r>
            <w:r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ymi</w:t>
            </w: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dla beneficjentów programu Rodzina 500</w:t>
            </w:r>
            <w:r w:rsidR="00F2178D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+</w:t>
            </w:r>
            <w:r w:rsidRPr="00AA16D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</w:t>
            </w:r>
            <w:r w:rsidR="008D33E9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Ich </w:t>
            </w:r>
            <w:r w:rsidR="008D33E9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oprocentowanie </w:t>
            </w:r>
            <w:r w:rsidR="008D33E9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jest preferencyjne w stosunku do obligacji znajdując</w:t>
            </w:r>
            <w:r w:rsidR="007E1FF8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ych</w:t>
            </w:r>
            <w:r w:rsidR="008D33E9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się w standardowej ofercie i o</w:t>
            </w:r>
            <w:r w:rsidR="008D33E9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parte jest o inflację</w:t>
            </w:r>
            <w:r w:rsidR="008D33E9">
              <w:rPr>
                <w:rFonts w:ascii="Arial" w:eastAsia="MS Mincho" w:hAnsi="Arial" w:cs="Arial"/>
                <w:sz w:val="18"/>
                <w:szCs w:val="20"/>
                <w:vertAlign w:val="superscript"/>
                <w:lang w:eastAsia="x-none"/>
              </w:rPr>
              <w:t>2</w:t>
            </w:r>
            <w:r w:rsidR="008D33E9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>.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Oprocentowanie w pierwszym roku oszczędzania wynosi </w:t>
            </w:r>
            <w:r w:rsidR="0084334F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3</w:t>
            </w:r>
            <w:r w:rsidR="0084334F"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,</w:t>
            </w:r>
            <w:r w:rsidR="0084334F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0</w:t>
            </w:r>
            <w:r w:rsidR="0084334F" w:rsidRPr="00B75F3D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0%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. W kolejnych latach oprocentowanie jest równe inflacji i stałej marży wynoszącej </w:t>
            </w:r>
            <w:r w:rsidR="0084334F" w:rsidRPr="00433DA8">
              <w:rPr>
                <w:rFonts w:ascii="Arial" w:eastAsia="MS Mincho" w:hAnsi="Arial" w:cs="Arial"/>
                <w:b/>
                <w:sz w:val="18"/>
                <w:szCs w:val="20"/>
                <w:lang w:eastAsia="x-none"/>
              </w:rPr>
              <w:t>2,00%</w:t>
            </w:r>
            <w:r w:rsidR="0084334F" w:rsidRPr="00E111A4">
              <w:rPr>
                <w:rFonts w:ascii="Arial" w:eastAsia="MS Mincho" w:hAnsi="Arial" w:cs="Arial"/>
                <w:sz w:val="18"/>
                <w:szCs w:val="20"/>
                <w:lang w:eastAsia="x-none"/>
              </w:rPr>
              <w:t xml:space="preserve"> (gwarantującej zysk powyżej inflacji). W pierwszym roku oprocentowanie jest naliczane od wartości 100 zł, a w kolejnych latach od wartości powiększonej o odsetki naliczone za poprzedni rok (tzw. kapitalizacja odsetek). Odsetki są wypłacane po zakończeniu oszczędzania.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334F" w:rsidRPr="002978D4" w:rsidRDefault="0084334F" w:rsidP="007E1FF8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978D4">
              <w:rPr>
                <w:rFonts w:ascii="Arial" w:hAnsi="Arial" w:cs="Arial"/>
                <w:snapToGrid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 zł</w:t>
            </w:r>
          </w:p>
        </w:tc>
      </w:tr>
    </w:tbl>
    <w:p w:rsidR="006A20D4" w:rsidRDefault="006A20D4" w:rsidP="006A20D4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4"/>
          <w:szCs w:val="18"/>
        </w:rPr>
      </w:pPr>
      <w:r w:rsidRPr="006A20D4">
        <w:rPr>
          <w:rFonts w:ascii="Arial" w:hAnsi="Arial" w:cs="Arial"/>
          <w:sz w:val="14"/>
          <w:szCs w:val="18"/>
        </w:rPr>
        <w:t>półroczna stopa procentowa pożyczek oferowanych na warszawskim rynku międzybankowym.</w:t>
      </w:r>
    </w:p>
    <w:p w:rsidR="00BC586D" w:rsidRPr="00810DA7" w:rsidRDefault="006A20D4" w:rsidP="00810DA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4"/>
          <w:szCs w:val="18"/>
        </w:rPr>
      </w:pPr>
      <w:r w:rsidRPr="006A20D4">
        <w:rPr>
          <w:rFonts w:ascii="Arial" w:hAnsi="Arial" w:cs="Arial"/>
          <w:sz w:val="14"/>
          <w:szCs w:val="18"/>
        </w:rPr>
        <w:t xml:space="preserve">stopa wzrostu cen towarów i usług konsumpcyjnych, przyjmowana dla 12 miesięcy i ogłaszana przez Prezesa GUS w miesiącu poprzedzającym pierwszy miesiąc danego okresu odsetkowego. </w:t>
      </w:r>
    </w:p>
    <w:sectPr w:rsidR="00BC586D" w:rsidRPr="00810DA7" w:rsidSect="00D540F9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72" w:rsidRDefault="00104472" w:rsidP="005145BB">
      <w:pPr>
        <w:spacing w:after="0" w:line="240" w:lineRule="auto"/>
      </w:pPr>
      <w:r>
        <w:separator/>
      </w:r>
    </w:p>
  </w:endnote>
  <w:endnote w:type="continuationSeparator" w:id="0">
    <w:p w:rsidR="00104472" w:rsidRDefault="00104472" w:rsidP="0051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800071"/>
      <w:docPartObj>
        <w:docPartGallery w:val="Page Numbers (Bottom of Page)"/>
        <w:docPartUnique/>
      </w:docPartObj>
    </w:sdtPr>
    <w:sdtEndPr/>
    <w:sdtContent>
      <w:p w:rsidR="007E1FF8" w:rsidRDefault="007E1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43F">
          <w:rPr>
            <w:noProof/>
          </w:rPr>
          <w:t>2</w:t>
        </w:r>
        <w:r>
          <w:fldChar w:fldCharType="end"/>
        </w:r>
      </w:p>
    </w:sdtContent>
  </w:sdt>
  <w:p w:rsidR="007E1FF8" w:rsidRDefault="007E1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72" w:rsidRDefault="00104472" w:rsidP="005145BB">
      <w:pPr>
        <w:spacing w:after="0" w:line="240" w:lineRule="auto"/>
      </w:pPr>
      <w:r>
        <w:separator/>
      </w:r>
    </w:p>
  </w:footnote>
  <w:footnote w:type="continuationSeparator" w:id="0">
    <w:p w:rsidR="00104472" w:rsidRDefault="00104472" w:rsidP="0051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ED1"/>
    <w:multiLevelType w:val="hybridMultilevel"/>
    <w:tmpl w:val="7E761800"/>
    <w:lvl w:ilvl="0" w:tplc="F63E2DC0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599E"/>
    <w:multiLevelType w:val="hybridMultilevel"/>
    <w:tmpl w:val="892A8D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986CFE"/>
    <w:multiLevelType w:val="hybridMultilevel"/>
    <w:tmpl w:val="1A6E63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B0785D"/>
    <w:multiLevelType w:val="hybridMultilevel"/>
    <w:tmpl w:val="98B03A44"/>
    <w:lvl w:ilvl="0" w:tplc="8C285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8E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424E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49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0B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4C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EB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42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42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s Kamila">
    <w15:presenceInfo w15:providerId="AD" w15:userId="S-1-5-21-1525952054-1005573771-2909822258-6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6D"/>
    <w:rsid w:val="00000741"/>
    <w:rsid w:val="00004EEC"/>
    <w:rsid w:val="00010662"/>
    <w:rsid w:val="00014E21"/>
    <w:rsid w:val="00017272"/>
    <w:rsid w:val="00027327"/>
    <w:rsid w:val="00030D18"/>
    <w:rsid w:val="00031F87"/>
    <w:rsid w:val="000331EF"/>
    <w:rsid w:val="0004577B"/>
    <w:rsid w:val="00050D7F"/>
    <w:rsid w:val="000540E7"/>
    <w:rsid w:val="00057486"/>
    <w:rsid w:val="00060AE1"/>
    <w:rsid w:val="00065862"/>
    <w:rsid w:val="00067AD1"/>
    <w:rsid w:val="000711A1"/>
    <w:rsid w:val="00081BBE"/>
    <w:rsid w:val="000840B5"/>
    <w:rsid w:val="00092448"/>
    <w:rsid w:val="000A2C30"/>
    <w:rsid w:val="000A6AE0"/>
    <w:rsid w:val="000A7F13"/>
    <w:rsid w:val="000B397F"/>
    <w:rsid w:val="000B3E33"/>
    <w:rsid w:val="000B4075"/>
    <w:rsid w:val="000B62F1"/>
    <w:rsid w:val="000C168B"/>
    <w:rsid w:val="000C3C7C"/>
    <w:rsid w:val="000D3198"/>
    <w:rsid w:val="000E235B"/>
    <w:rsid w:val="000E2747"/>
    <w:rsid w:val="000E7020"/>
    <w:rsid w:val="000E70AF"/>
    <w:rsid w:val="000F03F7"/>
    <w:rsid w:val="000F3BC9"/>
    <w:rsid w:val="000F58B2"/>
    <w:rsid w:val="00100734"/>
    <w:rsid w:val="00101CA3"/>
    <w:rsid w:val="00101FCB"/>
    <w:rsid w:val="00104161"/>
    <w:rsid w:val="00104472"/>
    <w:rsid w:val="001055A9"/>
    <w:rsid w:val="00110BC7"/>
    <w:rsid w:val="00116182"/>
    <w:rsid w:val="00121D5A"/>
    <w:rsid w:val="00121FED"/>
    <w:rsid w:val="00125585"/>
    <w:rsid w:val="00125B17"/>
    <w:rsid w:val="00131E5A"/>
    <w:rsid w:val="0013276C"/>
    <w:rsid w:val="00135F56"/>
    <w:rsid w:val="00143E46"/>
    <w:rsid w:val="001447F0"/>
    <w:rsid w:val="00147613"/>
    <w:rsid w:val="001512E7"/>
    <w:rsid w:val="00156759"/>
    <w:rsid w:val="00160A5F"/>
    <w:rsid w:val="0016526C"/>
    <w:rsid w:val="001671F3"/>
    <w:rsid w:val="0017045C"/>
    <w:rsid w:val="00174FB7"/>
    <w:rsid w:val="001753F0"/>
    <w:rsid w:val="00176B52"/>
    <w:rsid w:val="001814F7"/>
    <w:rsid w:val="00187136"/>
    <w:rsid w:val="00187383"/>
    <w:rsid w:val="00187680"/>
    <w:rsid w:val="00192661"/>
    <w:rsid w:val="0019645D"/>
    <w:rsid w:val="001A06C6"/>
    <w:rsid w:val="001A3840"/>
    <w:rsid w:val="001A4E6C"/>
    <w:rsid w:val="001B24D3"/>
    <w:rsid w:val="001C4BF3"/>
    <w:rsid w:val="001C5642"/>
    <w:rsid w:val="001D1749"/>
    <w:rsid w:val="001D2BCB"/>
    <w:rsid w:val="001D334E"/>
    <w:rsid w:val="001D4A48"/>
    <w:rsid w:val="001D658A"/>
    <w:rsid w:val="001E2008"/>
    <w:rsid w:val="001E208B"/>
    <w:rsid w:val="001E345A"/>
    <w:rsid w:val="001E5282"/>
    <w:rsid w:val="001F619C"/>
    <w:rsid w:val="001F76BB"/>
    <w:rsid w:val="00207751"/>
    <w:rsid w:val="002111DA"/>
    <w:rsid w:val="002139B0"/>
    <w:rsid w:val="00221ADB"/>
    <w:rsid w:val="002263EC"/>
    <w:rsid w:val="00231CFB"/>
    <w:rsid w:val="002349CD"/>
    <w:rsid w:val="00235A98"/>
    <w:rsid w:val="00242E43"/>
    <w:rsid w:val="00260E12"/>
    <w:rsid w:val="0026190A"/>
    <w:rsid w:val="00264489"/>
    <w:rsid w:val="00270EA9"/>
    <w:rsid w:val="0027300E"/>
    <w:rsid w:val="00273C68"/>
    <w:rsid w:val="00281EE3"/>
    <w:rsid w:val="00291339"/>
    <w:rsid w:val="00292234"/>
    <w:rsid w:val="002928E2"/>
    <w:rsid w:val="0029383B"/>
    <w:rsid w:val="00295B54"/>
    <w:rsid w:val="00296F44"/>
    <w:rsid w:val="002A1399"/>
    <w:rsid w:val="002A421D"/>
    <w:rsid w:val="002A69B3"/>
    <w:rsid w:val="002B1322"/>
    <w:rsid w:val="002B2563"/>
    <w:rsid w:val="002B2834"/>
    <w:rsid w:val="002B2B62"/>
    <w:rsid w:val="002B4EA7"/>
    <w:rsid w:val="002C18BB"/>
    <w:rsid w:val="002C32F2"/>
    <w:rsid w:val="002C33F6"/>
    <w:rsid w:val="002C3FB0"/>
    <w:rsid w:val="002C58BC"/>
    <w:rsid w:val="002C64EF"/>
    <w:rsid w:val="002C66EA"/>
    <w:rsid w:val="002D3E45"/>
    <w:rsid w:val="002D7079"/>
    <w:rsid w:val="002D7A26"/>
    <w:rsid w:val="002E4E14"/>
    <w:rsid w:val="002E5706"/>
    <w:rsid w:val="002E78B3"/>
    <w:rsid w:val="002F0311"/>
    <w:rsid w:val="002F4940"/>
    <w:rsid w:val="002F7A2C"/>
    <w:rsid w:val="00305B15"/>
    <w:rsid w:val="0031088A"/>
    <w:rsid w:val="00312ABA"/>
    <w:rsid w:val="003166A0"/>
    <w:rsid w:val="00316B3C"/>
    <w:rsid w:val="00322724"/>
    <w:rsid w:val="00323A95"/>
    <w:rsid w:val="00324656"/>
    <w:rsid w:val="003251F4"/>
    <w:rsid w:val="00333F80"/>
    <w:rsid w:val="00340440"/>
    <w:rsid w:val="00344342"/>
    <w:rsid w:val="00345368"/>
    <w:rsid w:val="003476B4"/>
    <w:rsid w:val="0035426B"/>
    <w:rsid w:val="0035777C"/>
    <w:rsid w:val="003609BC"/>
    <w:rsid w:val="00366CBD"/>
    <w:rsid w:val="00366D2C"/>
    <w:rsid w:val="00384207"/>
    <w:rsid w:val="00385FEF"/>
    <w:rsid w:val="003862B4"/>
    <w:rsid w:val="00387061"/>
    <w:rsid w:val="00393A94"/>
    <w:rsid w:val="003941E6"/>
    <w:rsid w:val="00395EA0"/>
    <w:rsid w:val="003A0398"/>
    <w:rsid w:val="003A1438"/>
    <w:rsid w:val="003A28DA"/>
    <w:rsid w:val="003A7C17"/>
    <w:rsid w:val="003B0BED"/>
    <w:rsid w:val="003B3E99"/>
    <w:rsid w:val="003B78F7"/>
    <w:rsid w:val="003C26DC"/>
    <w:rsid w:val="003C4BB3"/>
    <w:rsid w:val="003C54EB"/>
    <w:rsid w:val="003D1712"/>
    <w:rsid w:val="003D538D"/>
    <w:rsid w:val="003D5F4F"/>
    <w:rsid w:val="003D6780"/>
    <w:rsid w:val="003D6A5B"/>
    <w:rsid w:val="003D74E6"/>
    <w:rsid w:val="003D7A56"/>
    <w:rsid w:val="003E5403"/>
    <w:rsid w:val="003E6B0D"/>
    <w:rsid w:val="003E7F2C"/>
    <w:rsid w:val="003F0131"/>
    <w:rsid w:val="003F2CB0"/>
    <w:rsid w:val="003F2FF1"/>
    <w:rsid w:val="003F5CA8"/>
    <w:rsid w:val="003F6888"/>
    <w:rsid w:val="003F6A77"/>
    <w:rsid w:val="003F7A52"/>
    <w:rsid w:val="004001D1"/>
    <w:rsid w:val="004024B2"/>
    <w:rsid w:val="0040252B"/>
    <w:rsid w:val="0040256C"/>
    <w:rsid w:val="00406BC3"/>
    <w:rsid w:val="004114A7"/>
    <w:rsid w:val="004123BB"/>
    <w:rsid w:val="004128E8"/>
    <w:rsid w:val="00414C42"/>
    <w:rsid w:val="0041604F"/>
    <w:rsid w:val="0042599A"/>
    <w:rsid w:val="004267BE"/>
    <w:rsid w:val="00427E37"/>
    <w:rsid w:val="00433DA8"/>
    <w:rsid w:val="00434DA8"/>
    <w:rsid w:val="00435A06"/>
    <w:rsid w:val="00443D9D"/>
    <w:rsid w:val="00447BB0"/>
    <w:rsid w:val="00450348"/>
    <w:rsid w:val="00460F8B"/>
    <w:rsid w:val="00461EA5"/>
    <w:rsid w:val="0046291F"/>
    <w:rsid w:val="00463416"/>
    <w:rsid w:val="004803AB"/>
    <w:rsid w:val="004824FC"/>
    <w:rsid w:val="00483620"/>
    <w:rsid w:val="00483FF8"/>
    <w:rsid w:val="00484214"/>
    <w:rsid w:val="00484430"/>
    <w:rsid w:val="0049280F"/>
    <w:rsid w:val="00495EFB"/>
    <w:rsid w:val="004A1BA2"/>
    <w:rsid w:val="004A5BC2"/>
    <w:rsid w:val="004B1557"/>
    <w:rsid w:val="004B369C"/>
    <w:rsid w:val="004B6506"/>
    <w:rsid w:val="004C0FED"/>
    <w:rsid w:val="004D1BC6"/>
    <w:rsid w:val="004E14D6"/>
    <w:rsid w:val="004E5384"/>
    <w:rsid w:val="00504AFA"/>
    <w:rsid w:val="00506C94"/>
    <w:rsid w:val="00507EB5"/>
    <w:rsid w:val="0051413E"/>
    <w:rsid w:val="005145BB"/>
    <w:rsid w:val="005154CE"/>
    <w:rsid w:val="00515B95"/>
    <w:rsid w:val="00522D97"/>
    <w:rsid w:val="00523CDA"/>
    <w:rsid w:val="005313B6"/>
    <w:rsid w:val="005368A1"/>
    <w:rsid w:val="005368A9"/>
    <w:rsid w:val="00540BFF"/>
    <w:rsid w:val="005441B5"/>
    <w:rsid w:val="00544A0E"/>
    <w:rsid w:val="005462C4"/>
    <w:rsid w:val="00561A3E"/>
    <w:rsid w:val="00562ACA"/>
    <w:rsid w:val="0056463B"/>
    <w:rsid w:val="00571E07"/>
    <w:rsid w:val="0057288F"/>
    <w:rsid w:val="00572A5C"/>
    <w:rsid w:val="00576292"/>
    <w:rsid w:val="00582C0D"/>
    <w:rsid w:val="00594DA5"/>
    <w:rsid w:val="005A0E65"/>
    <w:rsid w:val="005B5F29"/>
    <w:rsid w:val="005C59CA"/>
    <w:rsid w:val="005C608E"/>
    <w:rsid w:val="005C62F7"/>
    <w:rsid w:val="005C72E4"/>
    <w:rsid w:val="005D0629"/>
    <w:rsid w:val="005D3E47"/>
    <w:rsid w:val="005D702F"/>
    <w:rsid w:val="005E0D17"/>
    <w:rsid w:val="005E5ABD"/>
    <w:rsid w:val="005E5CF7"/>
    <w:rsid w:val="005E7B42"/>
    <w:rsid w:val="005E7BC2"/>
    <w:rsid w:val="005F4951"/>
    <w:rsid w:val="005F66DF"/>
    <w:rsid w:val="00601C52"/>
    <w:rsid w:val="00607108"/>
    <w:rsid w:val="00613774"/>
    <w:rsid w:val="00626A84"/>
    <w:rsid w:val="00626DCF"/>
    <w:rsid w:val="0063071D"/>
    <w:rsid w:val="00631B7A"/>
    <w:rsid w:val="0063424C"/>
    <w:rsid w:val="00636747"/>
    <w:rsid w:val="00640B96"/>
    <w:rsid w:val="00641C56"/>
    <w:rsid w:val="00642FC6"/>
    <w:rsid w:val="00644F90"/>
    <w:rsid w:val="00654393"/>
    <w:rsid w:val="00657D18"/>
    <w:rsid w:val="0066196F"/>
    <w:rsid w:val="00663A06"/>
    <w:rsid w:val="00674EE4"/>
    <w:rsid w:val="00683753"/>
    <w:rsid w:val="00683948"/>
    <w:rsid w:val="006867D2"/>
    <w:rsid w:val="00686E87"/>
    <w:rsid w:val="00690A91"/>
    <w:rsid w:val="00695FA0"/>
    <w:rsid w:val="00697650"/>
    <w:rsid w:val="00697C5C"/>
    <w:rsid w:val="006A20D4"/>
    <w:rsid w:val="006A678E"/>
    <w:rsid w:val="006A74E9"/>
    <w:rsid w:val="006B0328"/>
    <w:rsid w:val="006B5D53"/>
    <w:rsid w:val="006D73DA"/>
    <w:rsid w:val="006E0DC9"/>
    <w:rsid w:val="006E1283"/>
    <w:rsid w:val="006E3CA6"/>
    <w:rsid w:val="006E71B8"/>
    <w:rsid w:val="006F03CB"/>
    <w:rsid w:val="007002E3"/>
    <w:rsid w:val="00701E38"/>
    <w:rsid w:val="00702155"/>
    <w:rsid w:val="0070461D"/>
    <w:rsid w:val="0070618E"/>
    <w:rsid w:val="007214AF"/>
    <w:rsid w:val="00723DEC"/>
    <w:rsid w:val="00726C88"/>
    <w:rsid w:val="00735753"/>
    <w:rsid w:val="00736140"/>
    <w:rsid w:val="007415E2"/>
    <w:rsid w:val="00742BE4"/>
    <w:rsid w:val="00743493"/>
    <w:rsid w:val="007437E4"/>
    <w:rsid w:val="00747EA8"/>
    <w:rsid w:val="00751323"/>
    <w:rsid w:val="00753DE1"/>
    <w:rsid w:val="00755897"/>
    <w:rsid w:val="007566A5"/>
    <w:rsid w:val="00771A03"/>
    <w:rsid w:val="0078503D"/>
    <w:rsid w:val="00785A10"/>
    <w:rsid w:val="007919EC"/>
    <w:rsid w:val="00793AAF"/>
    <w:rsid w:val="0079471E"/>
    <w:rsid w:val="00795203"/>
    <w:rsid w:val="0079676D"/>
    <w:rsid w:val="007B132A"/>
    <w:rsid w:val="007B2082"/>
    <w:rsid w:val="007B2F5B"/>
    <w:rsid w:val="007B35B7"/>
    <w:rsid w:val="007B6310"/>
    <w:rsid w:val="007C0383"/>
    <w:rsid w:val="007C18EF"/>
    <w:rsid w:val="007C33D8"/>
    <w:rsid w:val="007C3602"/>
    <w:rsid w:val="007C38CB"/>
    <w:rsid w:val="007C474E"/>
    <w:rsid w:val="007C6ED7"/>
    <w:rsid w:val="007D0102"/>
    <w:rsid w:val="007D4481"/>
    <w:rsid w:val="007D4EED"/>
    <w:rsid w:val="007D6045"/>
    <w:rsid w:val="007D7164"/>
    <w:rsid w:val="007E1FF8"/>
    <w:rsid w:val="007E3D74"/>
    <w:rsid w:val="007E523C"/>
    <w:rsid w:val="007E65B5"/>
    <w:rsid w:val="007E7B63"/>
    <w:rsid w:val="007F1694"/>
    <w:rsid w:val="007F6273"/>
    <w:rsid w:val="00800220"/>
    <w:rsid w:val="00803C62"/>
    <w:rsid w:val="00806F28"/>
    <w:rsid w:val="00810DA7"/>
    <w:rsid w:val="008116BA"/>
    <w:rsid w:val="00815CBC"/>
    <w:rsid w:val="00816FA8"/>
    <w:rsid w:val="0082275B"/>
    <w:rsid w:val="00822B63"/>
    <w:rsid w:val="00825227"/>
    <w:rsid w:val="008364FB"/>
    <w:rsid w:val="00836D36"/>
    <w:rsid w:val="00842949"/>
    <w:rsid w:val="00842DD9"/>
    <w:rsid w:val="00843331"/>
    <w:rsid w:val="0084334F"/>
    <w:rsid w:val="008440EE"/>
    <w:rsid w:val="008446AB"/>
    <w:rsid w:val="008446E9"/>
    <w:rsid w:val="00844E6B"/>
    <w:rsid w:val="00845937"/>
    <w:rsid w:val="00846530"/>
    <w:rsid w:val="00847302"/>
    <w:rsid w:val="00852E0C"/>
    <w:rsid w:val="00854F84"/>
    <w:rsid w:val="00862085"/>
    <w:rsid w:val="00863161"/>
    <w:rsid w:val="00864D02"/>
    <w:rsid w:val="00864F72"/>
    <w:rsid w:val="0088072E"/>
    <w:rsid w:val="00881143"/>
    <w:rsid w:val="0089412B"/>
    <w:rsid w:val="008A2AC1"/>
    <w:rsid w:val="008A6E8A"/>
    <w:rsid w:val="008B0DED"/>
    <w:rsid w:val="008B6073"/>
    <w:rsid w:val="008C2171"/>
    <w:rsid w:val="008C2AAA"/>
    <w:rsid w:val="008D33E9"/>
    <w:rsid w:val="008D58E0"/>
    <w:rsid w:val="008D5C4C"/>
    <w:rsid w:val="008D60A3"/>
    <w:rsid w:val="008E09FF"/>
    <w:rsid w:val="008E606C"/>
    <w:rsid w:val="008E6097"/>
    <w:rsid w:val="008F3AF9"/>
    <w:rsid w:val="008F6BAE"/>
    <w:rsid w:val="008F7187"/>
    <w:rsid w:val="0091335C"/>
    <w:rsid w:val="00916557"/>
    <w:rsid w:val="00916ECC"/>
    <w:rsid w:val="00916F51"/>
    <w:rsid w:val="009179FF"/>
    <w:rsid w:val="0092098B"/>
    <w:rsid w:val="00922192"/>
    <w:rsid w:val="009229B1"/>
    <w:rsid w:val="00927E13"/>
    <w:rsid w:val="009300B6"/>
    <w:rsid w:val="00931D3F"/>
    <w:rsid w:val="00934713"/>
    <w:rsid w:val="009355D5"/>
    <w:rsid w:val="00935C13"/>
    <w:rsid w:val="0094212D"/>
    <w:rsid w:val="00963D01"/>
    <w:rsid w:val="0096472A"/>
    <w:rsid w:val="0096629B"/>
    <w:rsid w:val="00972718"/>
    <w:rsid w:val="00986925"/>
    <w:rsid w:val="00990617"/>
    <w:rsid w:val="00995CD5"/>
    <w:rsid w:val="00997FC6"/>
    <w:rsid w:val="009A0C9D"/>
    <w:rsid w:val="009A3AE1"/>
    <w:rsid w:val="009A5043"/>
    <w:rsid w:val="009A685C"/>
    <w:rsid w:val="009B3920"/>
    <w:rsid w:val="009C07E1"/>
    <w:rsid w:val="009C48EE"/>
    <w:rsid w:val="009C4BAC"/>
    <w:rsid w:val="009D09F6"/>
    <w:rsid w:val="009D0CBF"/>
    <w:rsid w:val="009D1D45"/>
    <w:rsid w:val="009E34F0"/>
    <w:rsid w:val="009F1225"/>
    <w:rsid w:val="009F22D1"/>
    <w:rsid w:val="009F44BA"/>
    <w:rsid w:val="009F4C75"/>
    <w:rsid w:val="009F5EF8"/>
    <w:rsid w:val="009F6B86"/>
    <w:rsid w:val="00A06C82"/>
    <w:rsid w:val="00A10D6A"/>
    <w:rsid w:val="00A17EBA"/>
    <w:rsid w:val="00A319E6"/>
    <w:rsid w:val="00A33C7A"/>
    <w:rsid w:val="00A40803"/>
    <w:rsid w:val="00A41CE5"/>
    <w:rsid w:val="00A466E5"/>
    <w:rsid w:val="00A5172D"/>
    <w:rsid w:val="00A51EAC"/>
    <w:rsid w:val="00A61128"/>
    <w:rsid w:val="00A617F4"/>
    <w:rsid w:val="00A67714"/>
    <w:rsid w:val="00A7015E"/>
    <w:rsid w:val="00A709BC"/>
    <w:rsid w:val="00A712B7"/>
    <w:rsid w:val="00A869FE"/>
    <w:rsid w:val="00A870FB"/>
    <w:rsid w:val="00A9092E"/>
    <w:rsid w:val="00A93ACF"/>
    <w:rsid w:val="00A97F53"/>
    <w:rsid w:val="00AA16D4"/>
    <w:rsid w:val="00AA20FC"/>
    <w:rsid w:val="00AA4183"/>
    <w:rsid w:val="00AA48E2"/>
    <w:rsid w:val="00AA604F"/>
    <w:rsid w:val="00AA7ABE"/>
    <w:rsid w:val="00AB022E"/>
    <w:rsid w:val="00AB0741"/>
    <w:rsid w:val="00AB08EE"/>
    <w:rsid w:val="00AB3373"/>
    <w:rsid w:val="00AB3C81"/>
    <w:rsid w:val="00AB3E6C"/>
    <w:rsid w:val="00AC3907"/>
    <w:rsid w:val="00AC3C27"/>
    <w:rsid w:val="00AC42C8"/>
    <w:rsid w:val="00AC4B39"/>
    <w:rsid w:val="00AC4D61"/>
    <w:rsid w:val="00AC6ABD"/>
    <w:rsid w:val="00AD1B51"/>
    <w:rsid w:val="00AE1235"/>
    <w:rsid w:val="00AE2552"/>
    <w:rsid w:val="00AE586C"/>
    <w:rsid w:val="00AE77D1"/>
    <w:rsid w:val="00AF1C87"/>
    <w:rsid w:val="00AF4CEE"/>
    <w:rsid w:val="00B06539"/>
    <w:rsid w:val="00B23428"/>
    <w:rsid w:val="00B31B96"/>
    <w:rsid w:val="00B339B6"/>
    <w:rsid w:val="00B35EB3"/>
    <w:rsid w:val="00B40916"/>
    <w:rsid w:val="00B50400"/>
    <w:rsid w:val="00B50BD6"/>
    <w:rsid w:val="00B531FF"/>
    <w:rsid w:val="00B70BC6"/>
    <w:rsid w:val="00B70C46"/>
    <w:rsid w:val="00B76E11"/>
    <w:rsid w:val="00B7791D"/>
    <w:rsid w:val="00B81E6D"/>
    <w:rsid w:val="00B846AD"/>
    <w:rsid w:val="00B85503"/>
    <w:rsid w:val="00B91D85"/>
    <w:rsid w:val="00B946A1"/>
    <w:rsid w:val="00BA1159"/>
    <w:rsid w:val="00BC202B"/>
    <w:rsid w:val="00BC586D"/>
    <w:rsid w:val="00BE0A2B"/>
    <w:rsid w:val="00BE4A60"/>
    <w:rsid w:val="00BE5A52"/>
    <w:rsid w:val="00BE6C96"/>
    <w:rsid w:val="00BF1E31"/>
    <w:rsid w:val="00BF2634"/>
    <w:rsid w:val="00BF3540"/>
    <w:rsid w:val="00BF4EA0"/>
    <w:rsid w:val="00BF63B7"/>
    <w:rsid w:val="00C0413D"/>
    <w:rsid w:val="00C043A5"/>
    <w:rsid w:val="00C06109"/>
    <w:rsid w:val="00C1149F"/>
    <w:rsid w:val="00C14411"/>
    <w:rsid w:val="00C1613A"/>
    <w:rsid w:val="00C34B18"/>
    <w:rsid w:val="00C3592F"/>
    <w:rsid w:val="00C427C6"/>
    <w:rsid w:val="00C4343F"/>
    <w:rsid w:val="00C5520C"/>
    <w:rsid w:val="00C56B89"/>
    <w:rsid w:val="00C6132F"/>
    <w:rsid w:val="00C64967"/>
    <w:rsid w:val="00C66002"/>
    <w:rsid w:val="00C73783"/>
    <w:rsid w:val="00C763FA"/>
    <w:rsid w:val="00C82FBC"/>
    <w:rsid w:val="00C86056"/>
    <w:rsid w:val="00CA1C86"/>
    <w:rsid w:val="00CA5BF2"/>
    <w:rsid w:val="00CB3F1A"/>
    <w:rsid w:val="00CB4B20"/>
    <w:rsid w:val="00CB594E"/>
    <w:rsid w:val="00CC1BF6"/>
    <w:rsid w:val="00CC2C7E"/>
    <w:rsid w:val="00CC6936"/>
    <w:rsid w:val="00CD621A"/>
    <w:rsid w:val="00CE0470"/>
    <w:rsid w:val="00CE0BBD"/>
    <w:rsid w:val="00CE7711"/>
    <w:rsid w:val="00CF0B2B"/>
    <w:rsid w:val="00CF37F7"/>
    <w:rsid w:val="00D00309"/>
    <w:rsid w:val="00D0139E"/>
    <w:rsid w:val="00D052B7"/>
    <w:rsid w:val="00D067D7"/>
    <w:rsid w:val="00D11830"/>
    <w:rsid w:val="00D13F54"/>
    <w:rsid w:val="00D14B66"/>
    <w:rsid w:val="00D177BA"/>
    <w:rsid w:val="00D17D25"/>
    <w:rsid w:val="00D22BA9"/>
    <w:rsid w:val="00D31106"/>
    <w:rsid w:val="00D36BEF"/>
    <w:rsid w:val="00D36EEE"/>
    <w:rsid w:val="00D509F2"/>
    <w:rsid w:val="00D540F9"/>
    <w:rsid w:val="00D61521"/>
    <w:rsid w:val="00D628B0"/>
    <w:rsid w:val="00D62B02"/>
    <w:rsid w:val="00D6311B"/>
    <w:rsid w:val="00D71FAD"/>
    <w:rsid w:val="00D8107D"/>
    <w:rsid w:val="00D81E6C"/>
    <w:rsid w:val="00D85412"/>
    <w:rsid w:val="00D9028B"/>
    <w:rsid w:val="00D93E9F"/>
    <w:rsid w:val="00D953FD"/>
    <w:rsid w:val="00DA40C9"/>
    <w:rsid w:val="00DA4F6B"/>
    <w:rsid w:val="00DA537F"/>
    <w:rsid w:val="00DA57A5"/>
    <w:rsid w:val="00DB3C37"/>
    <w:rsid w:val="00DB6BCA"/>
    <w:rsid w:val="00DC0595"/>
    <w:rsid w:val="00DC2958"/>
    <w:rsid w:val="00DC4EE5"/>
    <w:rsid w:val="00DD02B0"/>
    <w:rsid w:val="00DD1507"/>
    <w:rsid w:val="00DD1E57"/>
    <w:rsid w:val="00DD1FAA"/>
    <w:rsid w:val="00DD5EAA"/>
    <w:rsid w:val="00DE4F47"/>
    <w:rsid w:val="00DF33B1"/>
    <w:rsid w:val="00DF6F05"/>
    <w:rsid w:val="00E0027F"/>
    <w:rsid w:val="00E029A1"/>
    <w:rsid w:val="00E02D14"/>
    <w:rsid w:val="00E04619"/>
    <w:rsid w:val="00E06A0F"/>
    <w:rsid w:val="00E06DFA"/>
    <w:rsid w:val="00E12069"/>
    <w:rsid w:val="00E22B16"/>
    <w:rsid w:val="00E23BB9"/>
    <w:rsid w:val="00E2601C"/>
    <w:rsid w:val="00E30F6D"/>
    <w:rsid w:val="00E35F1C"/>
    <w:rsid w:val="00E40302"/>
    <w:rsid w:val="00E40D3C"/>
    <w:rsid w:val="00E47B3D"/>
    <w:rsid w:val="00E512F6"/>
    <w:rsid w:val="00E53C3F"/>
    <w:rsid w:val="00E53E5F"/>
    <w:rsid w:val="00E56B07"/>
    <w:rsid w:val="00E62E4A"/>
    <w:rsid w:val="00E631BC"/>
    <w:rsid w:val="00E638CC"/>
    <w:rsid w:val="00E836A0"/>
    <w:rsid w:val="00E83787"/>
    <w:rsid w:val="00E877E6"/>
    <w:rsid w:val="00EA05BB"/>
    <w:rsid w:val="00EA2197"/>
    <w:rsid w:val="00EA5788"/>
    <w:rsid w:val="00EB0069"/>
    <w:rsid w:val="00EB1240"/>
    <w:rsid w:val="00EB178F"/>
    <w:rsid w:val="00EB64C0"/>
    <w:rsid w:val="00EB70BD"/>
    <w:rsid w:val="00EC0E18"/>
    <w:rsid w:val="00EC2987"/>
    <w:rsid w:val="00ED0918"/>
    <w:rsid w:val="00ED6D08"/>
    <w:rsid w:val="00ED7A1C"/>
    <w:rsid w:val="00EE22BF"/>
    <w:rsid w:val="00EE41CA"/>
    <w:rsid w:val="00EF2597"/>
    <w:rsid w:val="00F00687"/>
    <w:rsid w:val="00F015E3"/>
    <w:rsid w:val="00F1018B"/>
    <w:rsid w:val="00F10FA6"/>
    <w:rsid w:val="00F12EBD"/>
    <w:rsid w:val="00F14679"/>
    <w:rsid w:val="00F1790E"/>
    <w:rsid w:val="00F2178D"/>
    <w:rsid w:val="00F21A3D"/>
    <w:rsid w:val="00F22C96"/>
    <w:rsid w:val="00F30749"/>
    <w:rsid w:val="00F30EFE"/>
    <w:rsid w:val="00F350A0"/>
    <w:rsid w:val="00F370D3"/>
    <w:rsid w:val="00F45680"/>
    <w:rsid w:val="00F5698A"/>
    <w:rsid w:val="00F6149A"/>
    <w:rsid w:val="00F64292"/>
    <w:rsid w:val="00F64B54"/>
    <w:rsid w:val="00F65E23"/>
    <w:rsid w:val="00F704C5"/>
    <w:rsid w:val="00F7140E"/>
    <w:rsid w:val="00F735E0"/>
    <w:rsid w:val="00F76017"/>
    <w:rsid w:val="00F77512"/>
    <w:rsid w:val="00F80CF9"/>
    <w:rsid w:val="00F82D0F"/>
    <w:rsid w:val="00F8551C"/>
    <w:rsid w:val="00F91EBA"/>
    <w:rsid w:val="00F94031"/>
    <w:rsid w:val="00FA176B"/>
    <w:rsid w:val="00FA3128"/>
    <w:rsid w:val="00FA59C8"/>
    <w:rsid w:val="00FB2081"/>
    <w:rsid w:val="00FB38BE"/>
    <w:rsid w:val="00FB65AD"/>
    <w:rsid w:val="00FC0670"/>
    <w:rsid w:val="00FC4A03"/>
    <w:rsid w:val="00FC541B"/>
    <w:rsid w:val="00FD09BB"/>
    <w:rsid w:val="00FD7FB6"/>
    <w:rsid w:val="00FE0D02"/>
    <w:rsid w:val="00FE4BCA"/>
    <w:rsid w:val="00FF1F00"/>
    <w:rsid w:val="00FF52A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BC5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5B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BB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E27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E2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E23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5E2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86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BC5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5B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BB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E27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E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E2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E23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5E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21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0BA3-A91B-4649-9CFE-E161266B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 Kamila</dc:creator>
  <cp:lastModifiedBy>Rybicka Alina</cp:lastModifiedBy>
  <cp:revision>4</cp:revision>
  <cp:lastPrinted>2016-06-13T07:20:00Z</cp:lastPrinted>
  <dcterms:created xsi:type="dcterms:W3CDTF">2016-11-10T10:49:00Z</dcterms:created>
  <dcterms:modified xsi:type="dcterms:W3CDTF">2016-11-10T13:57:00Z</dcterms:modified>
</cp:coreProperties>
</file>