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E589FB" w14:textId="1C574407" w:rsidR="003F23AD" w:rsidRPr="00BB2142" w:rsidRDefault="003F23AD" w:rsidP="007A412B">
      <w:pPr>
        <w:pStyle w:val="webtitle"/>
        <w:spacing w:line="264" w:lineRule="auto"/>
        <w:rPr>
          <w:b/>
          <w:bCs/>
        </w:rPr>
      </w:pPr>
      <w:bookmarkStart w:id="0" w:name="vba_ENGLISH_EntireSection"/>
      <w:bookmarkStart w:id="1" w:name="_GoBack"/>
      <w:bookmarkEnd w:id="1"/>
    </w:p>
    <w:p w14:paraId="63573283" w14:textId="3F8C515C" w:rsidR="00A31440" w:rsidRPr="00BB2142" w:rsidRDefault="003B6D28" w:rsidP="00A31440">
      <w:pPr>
        <w:pStyle w:val="webtitle"/>
        <w:spacing w:line="264" w:lineRule="auto"/>
        <w:jc w:val="center"/>
        <w:rPr>
          <w:b/>
          <w:bCs/>
        </w:rPr>
      </w:pPr>
      <w:r>
        <w:rPr>
          <w:b/>
          <w:bCs/>
        </w:rPr>
        <w:t>Poland</w:t>
      </w:r>
      <w:r w:rsidR="000D7F4E" w:rsidRPr="00BB2142">
        <w:rPr>
          <w:b/>
          <w:bCs/>
        </w:rPr>
        <w:t xml:space="preserve">: </w:t>
      </w:r>
      <w:r w:rsidR="00C57653" w:rsidRPr="00BB2142">
        <w:rPr>
          <w:b/>
          <w:bCs/>
        </w:rPr>
        <w:t xml:space="preserve">Staff </w:t>
      </w:r>
      <w:r w:rsidR="00A31440" w:rsidRPr="00BB2142">
        <w:rPr>
          <w:b/>
          <w:bCs/>
        </w:rPr>
        <w:t xml:space="preserve">Concluding Statement of the </w:t>
      </w:r>
      <w:r w:rsidR="000D0305" w:rsidRPr="00BB2142">
        <w:rPr>
          <w:b/>
          <w:bCs/>
        </w:rPr>
        <w:t>2017</w:t>
      </w:r>
      <w:r w:rsidR="000D7F4E" w:rsidRPr="00BB2142">
        <w:rPr>
          <w:b/>
          <w:bCs/>
        </w:rPr>
        <w:t xml:space="preserve"> </w:t>
      </w:r>
      <w:r w:rsidR="00A31440" w:rsidRPr="00BB2142">
        <w:rPr>
          <w:b/>
          <w:bCs/>
        </w:rPr>
        <w:t xml:space="preserve">Article IV Mission </w:t>
      </w:r>
    </w:p>
    <w:p w14:paraId="2339C87F" w14:textId="77777777" w:rsidR="00855467" w:rsidRPr="00BB2142" w:rsidRDefault="00855467" w:rsidP="00855467">
      <w:pPr>
        <w:spacing w:line="264" w:lineRule="auto"/>
        <w:rPr>
          <w:sz w:val="24"/>
        </w:rPr>
      </w:pPr>
    </w:p>
    <w:p w14:paraId="7ACD821B" w14:textId="4C44AAAE" w:rsidR="00855467" w:rsidRPr="00BB2142" w:rsidRDefault="003B6D28" w:rsidP="00B635BF">
      <w:pPr>
        <w:pStyle w:val="webdate"/>
        <w:jc w:val="center"/>
      </w:pPr>
      <w:r>
        <w:t>May 18</w:t>
      </w:r>
      <w:r w:rsidR="000D7F4E" w:rsidRPr="00BB2142">
        <w:t>, 201</w:t>
      </w:r>
      <w:r w:rsidR="00A604EA">
        <w:t>7</w:t>
      </w:r>
    </w:p>
    <w:p w14:paraId="39053B12" w14:textId="77777777" w:rsidR="00A31440" w:rsidRPr="00BB2142" w:rsidRDefault="00A31440" w:rsidP="00482424">
      <w:pPr>
        <w:spacing w:line="264" w:lineRule="auto"/>
        <w:rPr>
          <w:sz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CE1" w:themeFill="background2"/>
        <w:tblLook w:val="04A0" w:firstRow="1" w:lastRow="0" w:firstColumn="1" w:lastColumn="0" w:noHBand="0" w:noVBand="1"/>
      </w:tblPr>
      <w:tblGrid>
        <w:gridCol w:w="8990"/>
      </w:tblGrid>
      <w:tr w:rsidR="007A412B" w:rsidRPr="007A412B" w14:paraId="66C03810" w14:textId="77777777" w:rsidTr="007A412B">
        <w:tc>
          <w:tcPr>
            <w:tcW w:w="8990" w:type="dxa"/>
            <w:shd w:val="clear" w:color="auto" w:fill="EEECE1" w:themeFill="background2"/>
          </w:tcPr>
          <w:p w14:paraId="18B805B9" w14:textId="77777777" w:rsidR="00E75C25" w:rsidRPr="007A412B" w:rsidRDefault="00E75C25" w:rsidP="00BA59F6">
            <w:pPr>
              <w:pStyle w:val="webdisclaimer"/>
              <w:rPr>
                <w:rFonts w:asciiTheme="majorBidi" w:hAnsiTheme="majorBidi" w:cstheme="majorBidi"/>
                <w:color w:val="auto"/>
              </w:rPr>
            </w:pPr>
            <w:r w:rsidRPr="007A412B">
              <w:rPr>
                <w:rFonts w:asciiTheme="majorBidi" w:hAnsiTheme="majorBidi" w:cstheme="majorBidi"/>
                <w:color w:val="auto"/>
              </w:rPr>
              <w:t xml:space="preserve">A Concluding Statement describes the preliminary findings of IMF staff at the end of an official staff visit (or ‘mission’), in most cases to a member country. Missions are undertaken as part of regular (usually annual) consultations under </w:t>
            </w:r>
            <w:hyperlink r:id="rId12" w:history="1">
              <w:r w:rsidRPr="007A412B">
                <w:rPr>
                  <w:rStyle w:val="Hipercze"/>
                  <w:rFonts w:asciiTheme="majorBidi" w:hAnsiTheme="majorBidi" w:cstheme="majorBidi"/>
                  <w:color w:val="auto"/>
                </w:rPr>
                <w:t>Article IV</w:t>
              </w:r>
            </w:hyperlink>
            <w:r w:rsidRPr="007A412B">
              <w:rPr>
                <w:rFonts w:asciiTheme="majorBidi" w:hAnsiTheme="majorBidi" w:cstheme="majorBidi"/>
                <w:color w:val="auto"/>
              </w:rPr>
              <w:t xml:space="preserve"> of the IMF's Articles of Agreement, in the context of a request to use IMF resources (borrow from the IMF), as part of discussions of staff monitored programs, or as part of other staff monitoring of economic developments. </w:t>
            </w:r>
            <w:r w:rsidR="00BA59F6" w:rsidRPr="007A412B">
              <w:rPr>
                <w:rFonts w:asciiTheme="majorBidi" w:hAnsiTheme="majorBidi" w:cstheme="majorBidi"/>
                <w:color w:val="auto"/>
              </w:rPr>
              <w:br/>
            </w:r>
            <w:r w:rsidR="00BA59F6" w:rsidRPr="007A412B">
              <w:rPr>
                <w:rFonts w:asciiTheme="majorBidi" w:hAnsiTheme="majorBidi" w:cstheme="majorBidi"/>
                <w:color w:val="auto"/>
              </w:rPr>
              <w:br/>
            </w:r>
            <w:r w:rsidRPr="007A412B">
              <w:rPr>
                <w:rFonts w:asciiTheme="majorBidi" w:hAnsiTheme="majorBidi" w:cstheme="majorBidi"/>
                <w:color w:val="auto"/>
              </w:rPr>
              <w:t xml:space="preserve">The authorities have consented to the publication of this statement. The views expressed in this statement are those of the IMF staff and do not necessarily represent the views of the IMF’s Executive Board. Based on the preliminary findings of this mission, staff will prepare a report that, subject to management approval, will be presented to the IMF Executive Board for discussion and decision.  </w:t>
            </w:r>
          </w:p>
        </w:tc>
      </w:tr>
      <w:bookmarkEnd w:id="0"/>
    </w:tbl>
    <w:p w14:paraId="6FA91436" w14:textId="48ED294E" w:rsidR="007A412B" w:rsidRPr="007A412B" w:rsidRDefault="007A412B" w:rsidP="007A412B">
      <w:pPr>
        <w:spacing w:line="270" w:lineRule="exact"/>
        <w:contextualSpacing/>
        <w:rPr>
          <w:rFonts w:asciiTheme="majorBidi" w:hAnsiTheme="majorBidi" w:cstheme="majorBidi"/>
          <w:i/>
        </w:rPr>
      </w:pPr>
    </w:p>
    <w:tbl>
      <w:tblPr>
        <w:tblStyle w:val="Tabela-Siatka"/>
        <w:tblW w:w="9005" w:type="dxa"/>
        <w:jc w:val="center"/>
        <w:tblBorders>
          <w:insideH w:val="none" w:sz="0" w:space="0" w:color="auto"/>
          <w:insideV w:val="none" w:sz="0" w:space="0" w:color="auto"/>
        </w:tblBorders>
        <w:tblLook w:val="04A0" w:firstRow="1" w:lastRow="0" w:firstColumn="1" w:lastColumn="0" w:noHBand="0" w:noVBand="1"/>
      </w:tblPr>
      <w:tblGrid>
        <w:gridCol w:w="2695"/>
        <w:gridCol w:w="6310"/>
      </w:tblGrid>
      <w:tr w:rsidR="007A412B" w:rsidRPr="007A412B" w14:paraId="395F117D" w14:textId="77777777" w:rsidTr="00806C17">
        <w:trPr>
          <w:trHeight w:val="1457"/>
          <w:jc w:val="center"/>
        </w:trPr>
        <w:tc>
          <w:tcPr>
            <w:tcW w:w="9005" w:type="dxa"/>
            <w:gridSpan w:val="2"/>
          </w:tcPr>
          <w:p w14:paraId="60EDE6AE" w14:textId="10DF1E2B" w:rsidR="00B635BF" w:rsidRDefault="007A412B" w:rsidP="00B635BF">
            <w:pPr>
              <w:contextualSpacing/>
              <w:rPr>
                <w:rFonts w:asciiTheme="majorBidi" w:hAnsiTheme="majorBidi" w:cstheme="majorBidi"/>
                <w:i/>
                <w:sz w:val="24"/>
                <w:szCs w:val="24"/>
              </w:rPr>
            </w:pPr>
            <w:r w:rsidRPr="007A412B">
              <w:rPr>
                <w:rFonts w:asciiTheme="majorBidi" w:hAnsiTheme="majorBidi" w:cstheme="majorBidi"/>
                <w:bCs/>
                <w:i/>
                <w:iCs/>
                <w:sz w:val="24"/>
                <w:szCs w:val="24"/>
              </w:rPr>
              <w:t xml:space="preserve">The current growth momentum is very strong and </w:t>
            </w:r>
            <w:r w:rsidRPr="007A412B">
              <w:rPr>
                <w:rFonts w:asciiTheme="majorBidi" w:hAnsiTheme="majorBidi" w:cstheme="majorBidi"/>
                <w:i/>
                <w:sz w:val="24"/>
                <w:szCs w:val="24"/>
              </w:rPr>
              <w:t xml:space="preserve">risks to the near-term outlook are broadly balanced. But </w:t>
            </w:r>
            <w:r w:rsidRPr="007A412B">
              <w:rPr>
                <w:rFonts w:asciiTheme="majorBidi" w:hAnsiTheme="majorBidi" w:cstheme="majorBidi"/>
                <w:bCs/>
                <w:i/>
                <w:iCs/>
                <w:sz w:val="24"/>
                <w:szCs w:val="24"/>
              </w:rPr>
              <w:t>l</w:t>
            </w:r>
            <w:r w:rsidRPr="007A412B">
              <w:rPr>
                <w:rFonts w:asciiTheme="majorBidi" w:hAnsiTheme="majorBidi" w:cstheme="majorBidi"/>
                <w:i/>
                <w:sz w:val="24"/>
                <w:szCs w:val="24"/>
              </w:rPr>
              <w:t>ong-term economic growth prospects are more subdued, given demographic headwinds and slower productivity growth.</w:t>
            </w:r>
            <w:r w:rsidR="00B635BF">
              <w:rPr>
                <w:rFonts w:asciiTheme="majorBidi" w:hAnsiTheme="majorBidi" w:cstheme="majorBidi"/>
                <w:i/>
                <w:sz w:val="24"/>
                <w:szCs w:val="24"/>
              </w:rPr>
              <w:t xml:space="preserve"> </w:t>
            </w:r>
          </w:p>
          <w:p w14:paraId="31CD7BD1" w14:textId="77777777" w:rsidR="00806C17" w:rsidRPr="00806C17" w:rsidRDefault="00806C17" w:rsidP="00806C17">
            <w:pPr>
              <w:contextualSpacing/>
              <w:rPr>
                <w:rFonts w:asciiTheme="majorBidi" w:hAnsiTheme="majorBidi" w:cstheme="majorBidi"/>
                <w:i/>
                <w:sz w:val="18"/>
                <w:szCs w:val="18"/>
              </w:rPr>
            </w:pPr>
          </w:p>
          <w:p w14:paraId="6F3AAF2C" w14:textId="5709E61B" w:rsidR="007A412B" w:rsidRPr="007A412B" w:rsidRDefault="007A412B" w:rsidP="00806C17">
            <w:pPr>
              <w:contextualSpacing/>
              <w:rPr>
                <w:rFonts w:asciiTheme="majorBidi" w:hAnsiTheme="majorBidi" w:cstheme="majorBidi"/>
                <w:i/>
                <w:sz w:val="24"/>
                <w:szCs w:val="24"/>
              </w:rPr>
            </w:pPr>
            <w:r w:rsidRPr="007A412B">
              <w:rPr>
                <w:rFonts w:asciiTheme="majorBidi" w:hAnsiTheme="majorBidi" w:cstheme="majorBidi"/>
                <w:i/>
                <w:sz w:val="24"/>
                <w:szCs w:val="24"/>
              </w:rPr>
              <w:t>The key policy priorities are</w:t>
            </w:r>
          </w:p>
        </w:tc>
      </w:tr>
      <w:tr w:rsidR="00806C17" w:rsidRPr="007A412B" w14:paraId="5B426382" w14:textId="77777777" w:rsidTr="00806C17">
        <w:trPr>
          <w:trHeight w:val="638"/>
          <w:jc w:val="center"/>
        </w:trPr>
        <w:tc>
          <w:tcPr>
            <w:tcW w:w="2695" w:type="dxa"/>
          </w:tcPr>
          <w:p w14:paraId="3E84F77D" w14:textId="25A7429D" w:rsidR="00806C17" w:rsidRPr="007A412B" w:rsidRDefault="00806C17" w:rsidP="00806C17">
            <w:pPr>
              <w:numPr>
                <w:ilvl w:val="0"/>
                <w:numId w:val="11"/>
              </w:numPr>
              <w:ind w:left="288" w:hanging="288"/>
              <w:contextualSpacing/>
              <w:rPr>
                <w:rFonts w:asciiTheme="majorBidi" w:hAnsiTheme="majorBidi" w:cstheme="majorBidi"/>
                <w:bCs/>
                <w:i/>
                <w:iCs/>
                <w:sz w:val="24"/>
                <w:szCs w:val="24"/>
              </w:rPr>
            </w:pPr>
            <w:r w:rsidRPr="007A412B">
              <w:rPr>
                <w:rFonts w:asciiTheme="majorBidi" w:hAnsiTheme="majorBidi" w:cstheme="majorBidi"/>
                <w:b/>
                <w:i/>
                <w:sz w:val="24"/>
                <w:szCs w:val="24"/>
              </w:rPr>
              <w:t>rebuilding buffers</w:t>
            </w:r>
            <w:r w:rsidRPr="007A412B">
              <w:rPr>
                <w:rFonts w:asciiTheme="majorBidi" w:hAnsiTheme="majorBidi" w:cstheme="majorBidi"/>
                <w:i/>
                <w:sz w:val="24"/>
                <w:szCs w:val="24"/>
              </w:rPr>
              <w:t>:</w:t>
            </w:r>
            <w:r w:rsidRPr="007A412B">
              <w:rPr>
                <w:rFonts w:asciiTheme="majorBidi" w:hAnsiTheme="majorBidi" w:cstheme="majorBidi"/>
                <w:sz w:val="24"/>
                <w:szCs w:val="24"/>
              </w:rPr>
              <w:t xml:space="preserve"> </w:t>
            </w:r>
          </w:p>
        </w:tc>
        <w:tc>
          <w:tcPr>
            <w:tcW w:w="6310" w:type="dxa"/>
          </w:tcPr>
          <w:p w14:paraId="3D46AC07" w14:textId="17F61859" w:rsidR="00806C17" w:rsidRPr="00806C17" w:rsidRDefault="00806C17" w:rsidP="00806C17">
            <w:pPr>
              <w:contextualSpacing/>
              <w:rPr>
                <w:rFonts w:asciiTheme="majorBidi" w:hAnsiTheme="majorBidi" w:cstheme="majorBidi"/>
                <w:i/>
                <w:sz w:val="24"/>
                <w:szCs w:val="24"/>
              </w:rPr>
            </w:pPr>
            <w:r w:rsidRPr="007A412B">
              <w:rPr>
                <w:rFonts w:asciiTheme="majorBidi" w:hAnsiTheme="majorBidi" w:cstheme="majorBidi"/>
                <w:i/>
                <w:sz w:val="24"/>
                <w:szCs w:val="24"/>
              </w:rPr>
              <w:t xml:space="preserve">fiscal </w:t>
            </w:r>
            <w:r w:rsidRPr="007A412B">
              <w:rPr>
                <w:rFonts w:asciiTheme="majorBidi" w:hAnsiTheme="majorBidi" w:cstheme="majorBidi"/>
                <w:sz w:val="24"/>
                <w:szCs w:val="24"/>
              </w:rPr>
              <w:t>c</w:t>
            </w:r>
            <w:r w:rsidRPr="007A412B">
              <w:rPr>
                <w:rFonts w:asciiTheme="majorBidi" w:hAnsiTheme="majorBidi" w:cstheme="majorBidi"/>
                <w:i/>
                <w:sz w:val="24"/>
                <w:szCs w:val="24"/>
              </w:rPr>
              <w:t>onsolidation should st</w:t>
            </w:r>
            <w:r>
              <w:rPr>
                <w:rFonts w:asciiTheme="majorBidi" w:hAnsiTheme="majorBidi" w:cstheme="majorBidi"/>
                <w:i/>
                <w:sz w:val="24"/>
                <w:szCs w:val="24"/>
              </w:rPr>
              <w:t xml:space="preserve">art as soon as possible to take </w:t>
            </w:r>
            <w:r w:rsidRPr="007A412B">
              <w:rPr>
                <w:rFonts w:asciiTheme="majorBidi" w:hAnsiTheme="majorBidi" w:cstheme="majorBidi"/>
                <w:i/>
                <w:sz w:val="24"/>
                <w:szCs w:val="24"/>
              </w:rPr>
              <w:t>advantage of the cyclical upswing</w:t>
            </w:r>
          </w:p>
        </w:tc>
      </w:tr>
      <w:tr w:rsidR="00806C17" w:rsidRPr="007A412B" w14:paraId="15AB4D3C" w14:textId="77777777" w:rsidTr="00F0166A">
        <w:trPr>
          <w:trHeight w:val="621"/>
          <w:jc w:val="center"/>
        </w:trPr>
        <w:tc>
          <w:tcPr>
            <w:tcW w:w="2695" w:type="dxa"/>
          </w:tcPr>
          <w:p w14:paraId="02CC517C" w14:textId="5116323F" w:rsidR="00806C17" w:rsidRPr="007A412B" w:rsidRDefault="00806C17" w:rsidP="00806C17">
            <w:pPr>
              <w:numPr>
                <w:ilvl w:val="0"/>
                <w:numId w:val="11"/>
              </w:numPr>
              <w:ind w:left="288" w:hanging="288"/>
              <w:contextualSpacing/>
              <w:rPr>
                <w:rFonts w:asciiTheme="majorBidi" w:hAnsiTheme="majorBidi" w:cstheme="majorBidi"/>
                <w:b/>
                <w:i/>
                <w:sz w:val="24"/>
                <w:szCs w:val="24"/>
              </w:rPr>
            </w:pPr>
            <w:r w:rsidRPr="007A412B">
              <w:rPr>
                <w:rFonts w:asciiTheme="majorBidi" w:hAnsiTheme="majorBidi" w:cstheme="majorBidi"/>
                <w:b/>
                <w:i/>
                <w:sz w:val="24"/>
                <w:szCs w:val="24"/>
              </w:rPr>
              <w:t>managing reflation</w:t>
            </w:r>
            <w:r w:rsidRPr="007A412B">
              <w:rPr>
                <w:rFonts w:asciiTheme="majorBidi" w:hAnsiTheme="majorBidi" w:cstheme="majorBidi"/>
                <w:i/>
                <w:sz w:val="24"/>
                <w:szCs w:val="24"/>
              </w:rPr>
              <w:t xml:space="preserve">: </w:t>
            </w:r>
          </w:p>
        </w:tc>
        <w:tc>
          <w:tcPr>
            <w:tcW w:w="6310" w:type="dxa"/>
          </w:tcPr>
          <w:p w14:paraId="735EC4A8" w14:textId="080C8C60" w:rsidR="00806C17" w:rsidRPr="007A412B" w:rsidRDefault="00806C17" w:rsidP="00806C17">
            <w:pPr>
              <w:contextualSpacing/>
              <w:rPr>
                <w:rFonts w:asciiTheme="majorBidi" w:hAnsiTheme="majorBidi" w:cstheme="majorBidi"/>
                <w:i/>
                <w:sz w:val="24"/>
                <w:szCs w:val="24"/>
              </w:rPr>
            </w:pPr>
            <w:r w:rsidRPr="007A412B">
              <w:rPr>
                <w:rFonts w:asciiTheme="majorBidi" w:hAnsiTheme="majorBidi" w:cstheme="majorBidi"/>
                <w:i/>
                <w:sz w:val="24"/>
                <w:szCs w:val="24"/>
              </w:rPr>
              <w:t xml:space="preserve">a prompt monetary tightening will be needed if </w:t>
            </w:r>
            <w:r w:rsidR="00A604EA" w:rsidRPr="00A604EA">
              <w:rPr>
                <w:rFonts w:asciiTheme="majorBidi" w:hAnsiTheme="majorBidi" w:cstheme="majorBidi"/>
                <w:i/>
                <w:sz w:val="24"/>
                <w:szCs w:val="24"/>
              </w:rPr>
              <w:t>accelerating core inflation threatens the inflation objectives</w:t>
            </w:r>
          </w:p>
        </w:tc>
      </w:tr>
      <w:tr w:rsidR="00806C17" w:rsidRPr="007A412B" w14:paraId="490D8936" w14:textId="77777777" w:rsidTr="00E53E61">
        <w:trPr>
          <w:trHeight w:val="648"/>
          <w:jc w:val="center"/>
        </w:trPr>
        <w:tc>
          <w:tcPr>
            <w:tcW w:w="2695" w:type="dxa"/>
          </w:tcPr>
          <w:p w14:paraId="799FC20B" w14:textId="5D84F781" w:rsidR="00806C17" w:rsidRPr="007A412B" w:rsidRDefault="00806C17" w:rsidP="00806C17">
            <w:pPr>
              <w:numPr>
                <w:ilvl w:val="0"/>
                <w:numId w:val="11"/>
              </w:numPr>
              <w:ind w:left="288" w:hanging="288"/>
              <w:contextualSpacing/>
              <w:rPr>
                <w:rFonts w:asciiTheme="majorBidi" w:hAnsiTheme="majorBidi" w:cstheme="majorBidi"/>
                <w:b/>
                <w:i/>
                <w:sz w:val="24"/>
                <w:szCs w:val="24"/>
              </w:rPr>
            </w:pPr>
            <w:r w:rsidRPr="007A412B">
              <w:rPr>
                <w:rFonts w:asciiTheme="majorBidi" w:hAnsiTheme="majorBidi" w:cstheme="majorBidi"/>
                <w:b/>
                <w:i/>
                <w:sz w:val="24"/>
                <w:szCs w:val="24"/>
              </w:rPr>
              <w:t>preserving resilience:</w:t>
            </w:r>
          </w:p>
        </w:tc>
        <w:tc>
          <w:tcPr>
            <w:tcW w:w="6310" w:type="dxa"/>
          </w:tcPr>
          <w:p w14:paraId="00E41530" w14:textId="3090F5BD" w:rsidR="00806C17" w:rsidRPr="007A412B" w:rsidRDefault="00806C17" w:rsidP="00806C17">
            <w:pPr>
              <w:contextualSpacing/>
              <w:rPr>
                <w:rFonts w:asciiTheme="majorBidi" w:hAnsiTheme="majorBidi" w:cstheme="majorBidi"/>
                <w:i/>
                <w:sz w:val="24"/>
                <w:szCs w:val="24"/>
              </w:rPr>
            </w:pPr>
            <w:r w:rsidRPr="007A412B">
              <w:rPr>
                <w:rFonts w:asciiTheme="majorBidi" w:hAnsiTheme="majorBidi" w:cstheme="majorBidi"/>
                <w:i/>
                <w:sz w:val="24"/>
                <w:szCs w:val="24"/>
              </w:rPr>
              <w:t>policies should safeguard banks’ stability and capacity to support growth</w:t>
            </w:r>
          </w:p>
        </w:tc>
      </w:tr>
      <w:tr w:rsidR="00806C17" w:rsidRPr="007A412B" w14:paraId="13FD96AD" w14:textId="77777777" w:rsidTr="00806C17">
        <w:trPr>
          <w:trHeight w:val="710"/>
          <w:jc w:val="center"/>
        </w:trPr>
        <w:tc>
          <w:tcPr>
            <w:tcW w:w="2695" w:type="dxa"/>
          </w:tcPr>
          <w:p w14:paraId="3D890823" w14:textId="0CBFB8B2" w:rsidR="00806C17" w:rsidRPr="007A412B" w:rsidRDefault="00806C17" w:rsidP="00806C17">
            <w:pPr>
              <w:numPr>
                <w:ilvl w:val="0"/>
                <w:numId w:val="11"/>
              </w:numPr>
              <w:ind w:left="288" w:hanging="288"/>
              <w:contextualSpacing/>
              <w:rPr>
                <w:rFonts w:asciiTheme="majorBidi" w:hAnsiTheme="majorBidi" w:cstheme="majorBidi"/>
                <w:b/>
                <w:i/>
                <w:sz w:val="24"/>
                <w:szCs w:val="24"/>
              </w:rPr>
            </w:pPr>
            <w:r w:rsidRPr="007A412B">
              <w:rPr>
                <w:rFonts w:asciiTheme="majorBidi" w:hAnsiTheme="majorBidi" w:cstheme="majorBidi"/>
                <w:b/>
                <w:i/>
                <w:sz w:val="24"/>
                <w:szCs w:val="24"/>
              </w:rPr>
              <w:t>advancing reforms</w:t>
            </w:r>
            <w:r w:rsidRPr="007A412B">
              <w:rPr>
                <w:rFonts w:asciiTheme="majorBidi" w:hAnsiTheme="majorBidi" w:cstheme="majorBidi"/>
                <w:i/>
                <w:sz w:val="24"/>
                <w:szCs w:val="24"/>
              </w:rPr>
              <w:t>:</w:t>
            </w:r>
          </w:p>
        </w:tc>
        <w:tc>
          <w:tcPr>
            <w:tcW w:w="6310" w:type="dxa"/>
          </w:tcPr>
          <w:p w14:paraId="4D0A020D" w14:textId="57C1C918" w:rsidR="00806C17" w:rsidRPr="007A412B" w:rsidRDefault="00806C17" w:rsidP="00806C17">
            <w:pPr>
              <w:contextualSpacing/>
              <w:rPr>
                <w:rFonts w:asciiTheme="majorBidi" w:hAnsiTheme="majorBidi" w:cstheme="majorBidi"/>
                <w:i/>
                <w:sz w:val="24"/>
                <w:szCs w:val="24"/>
              </w:rPr>
            </w:pPr>
            <w:r w:rsidRPr="007A412B">
              <w:rPr>
                <w:rFonts w:asciiTheme="majorBidi" w:hAnsiTheme="majorBidi" w:cstheme="majorBidi"/>
                <w:i/>
                <w:sz w:val="24"/>
                <w:szCs w:val="24"/>
              </w:rPr>
              <w:t>efforts should focus on creating efficient institutions and growth-friendly regulations</w:t>
            </w:r>
          </w:p>
        </w:tc>
      </w:tr>
    </w:tbl>
    <w:p w14:paraId="0F2EAE79" w14:textId="77777777" w:rsidR="007A412B" w:rsidRPr="007A412B" w:rsidRDefault="007A412B" w:rsidP="007A412B">
      <w:pPr>
        <w:spacing w:line="270" w:lineRule="exact"/>
        <w:contextualSpacing/>
        <w:rPr>
          <w:rFonts w:asciiTheme="majorBidi" w:hAnsiTheme="majorBidi" w:cstheme="majorBidi"/>
          <w:sz w:val="22"/>
          <w:szCs w:val="22"/>
        </w:rPr>
      </w:pPr>
    </w:p>
    <w:p w14:paraId="3C171DFD" w14:textId="5E2725BF" w:rsidR="007A412B" w:rsidRDefault="007A412B" w:rsidP="007A412B">
      <w:pPr>
        <w:numPr>
          <w:ilvl w:val="0"/>
          <w:numId w:val="10"/>
        </w:numPr>
        <w:spacing w:line="300" w:lineRule="exact"/>
        <w:ind w:left="0" w:firstLine="0"/>
        <w:contextualSpacing/>
        <w:rPr>
          <w:rFonts w:asciiTheme="majorBidi" w:hAnsiTheme="majorBidi" w:cstheme="majorBidi"/>
          <w:sz w:val="24"/>
          <w:szCs w:val="24"/>
        </w:rPr>
      </w:pPr>
      <w:r w:rsidRPr="007A412B">
        <w:rPr>
          <w:rFonts w:asciiTheme="majorBidi" w:hAnsiTheme="majorBidi" w:cstheme="majorBidi"/>
          <w:b/>
          <w:bCs/>
          <w:iCs/>
          <w:sz w:val="24"/>
          <w:szCs w:val="24"/>
        </w:rPr>
        <w:t>The strong cyclical upswing is expected to continue in the near-term.</w:t>
      </w:r>
      <w:r w:rsidRPr="007A412B">
        <w:rPr>
          <w:rFonts w:asciiTheme="majorBidi" w:hAnsiTheme="majorBidi" w:cstheme="majorBidi"/>
          <w:b/>
          <w:sz w:val="24"/>
          <w:szCs w:val="24"/>
        </w:rPr>
        <w:t xml:space="preserve"> </w:t>
      </w:r>
      <w:r w:rsidRPr="007A412B">
        <w:rPr>
          <w:rFonts w:asciiTheme="majorBidi" w:hAnsiTheme="majorBidi" w:cstheme="majorBidi"/>
          <w:sz w:val="24"/>
          <w:szCs w:val="24"/>
        </w:rPr>
        <w:t>Economic growth remained robust at 2.7 percent in 2016 and is expected to rebound to 3.6 percent this year on the back of strong consumption and higher public investment boosted by EU funds.</w:t>
      </w:r>
      <w:r w:rsidRPr="00B635BF">
        <w:rPr>
          <w:rFonts w:asciiTheme="majorBidi" w:hAnsiTheme="majorBidi" w:cstheme="majorBidi"/>
          <w:sz w:val="24"/>
          <w:szCs w:val="24"/>
          <w:vertAlign w:val="superscript"/>
        </w:rPr>
        <w:t xml:space="preserve"> </w:t>
      </w:r>
      <w:r w:rsidRPr="007A412B">
        <w:rPr>
          <w:rFonts w:asciiTheme="majorBidi" w:hAnsiTheme="majorBidi" w:cstheme="majorBidi"/>
          <w:sz w:val="24"/>
          <w:szCs w:val="24"/>
        </w:rPr>
        <w:t xml:space="preserve"> Labor market conditions continue to tighten, with unemployment rate falling to a historical low. </w:t>
      </w:r>
      <w:r w:rsidR="00A604EA">
        <w:rPr>
          <w:rFonts w:asciiTheme="majorBidi" w:hAnsiTheme="majorBidi" w:cstheme="majorBidi"/>
          <w:sz w:val="24"/>
          <w:szCs w:val="24"/>
        </w:rPr>
        <w:t>H</w:t>
      </w:r>
      <w:r w:rsidRPr="007A412B">
        <w:rPr>
          <w:rFonts w:asciiTheme="majorBidi" w:hAnsiTheme="majorBidi" w:cstheme="majorBidi"/>
          <w:sz w:val="24"/>
          <w:szCs w:val="24"/>
        </w:rPr>
        <w:t xml:space="preserve">eadline inflation </w:t>
      </w:r>
      <w:r w:rsidR="00A604EA">
        <w:rPr>
          <w:rFonts w:asciiTheme="majorBidi" w:hAnsiTheme="majorBidi" w:cstheme="majorBidi"/>
          <w:sz w:val="24"/>
          <w:szCs w:val="24"/>
        </w:rPr>
        <w:t>increased</w:t>
      </w:r>
      <w:r w:rsidRPr="007A412B">
        <w:rPr>
          <w:rFonts w:asciiTheme="majorBidi" w:hAnsiTheme="majorBidi" w:cstheme="majorBidi"/>
          <w:sz w:val="24"/>
          <w:szCs w:val="24"/>
        </w:rPr>
        <w:t xml:space="preserve"> rapidly to 2 percent in April, </w:t>
      </w:r>
      <w:r w:rsidR="00A604EA">
        <w:rPr>
          <w:rFonts w:asciiTheme="majorBidi" w:hAnsiTheme="majorBidi" w:cstheme="majorBidi"/>
          <w:sz w:val="24"/>
          <w:szCs w:val="24"/>
        </w:rPr>
        <w:t xml:space="preserve">on the back of rising food and fuel prices, </w:t>
      </w:r>
      <w:r w:rsidRPr="007A412B">
        <w:rPr>
          <w:rFonts w:asciiTheme="majorBidi" w:hAnsiTheme="majorBidi" w:cstheme="majorBidi"/>
          <w:sz w:val="24"/>
          <w:szCs w:val="24"/>
        </w:rPr>
        <w:t>crossing the lower bound of the central bank’s target band</w:t>
      </w:r>
      <w:r w:rsidR="00A604EA">
        <w:rPr>
          <w:rFonts w:asciiTheme="majorBidi" w:hAnsiTheme="majorBidi" w:cstheme="majorBidi"/>
          <w:sz w:val="24"/>
          <w:szCs w:val="24"/>
        </w:rPr>
        <w:t>, while c</w:t>
      </w:r>
      <w:r w:rsidRPr="007A412B">
        <w:rPr>
          <w:rFonts w:asciiTheme="majorBidi" w:hAnsiTheme="majorBidi" w:cstheme="majorBidi"/>
          <w:sz w:val="24"/>
          <w:szCs w:val="24"/>
        </w:rPr>
        <w:t xml:space="preserve">ore inflation accelerated to 0.9 percent, the highest level since 2014. The output gap is closed, and both tight labor market and a record-high capacity utilization signal that the Polish economy is likely operating </w:t>
      </w:r>
      <w:r w:rsidR="00507DAD">
        <w:rPr>
          <w:rFonts w:asciiTheme="majorBidi" w:hAnsiTheme="majorBidi" w:cstheme="majorBidi"/>
          <w:sz w:val="24"/>
          <w:szCs w:val="24"/>
        </w:rPr>
        <w:t xml:space="preserve">at or </w:t>
      </w:r>
      <w:r w:rsidRPr="007A412B">
        <w:rPr>
          <w:rFonts w:asciiTheme="majorBidi" w:hAnsiTheme="majorBidi" w:cstheme="majorBidi"/>
          <w:sz w:val="24"/>
          <w:szCs w:val="24"/>
        </w:rPr>
        <w:t xml:space="preserve">above potential. The fiscal deficit of 2.4 percent of GDP in 2016 turned out to be better-than-expected, hitting the lowest level since the global financial crisis. </w:t>
      </w:r>
    </w:p>
    <w:p w14:paraId="4DACC125" w14:textId="77777777" w:rsidR="00F0166A" w:rsidRPr="00F0166A" w:rsidRDefault="00F0166A" w:rsidP="00F0166A">
      <w:pPr>
        <w:spacing w:line="300" w:lineRule="exact"/>
        <w:contextualSpacing/>
        <w:rPr>
          <w:rFonts w:asciiTheme="majorBidi" w:hAnsiTheme="majorBidi" w:cstheme="majorBidi"/>
          <w:sz w:val="24"/>
          <w:szCs w:val="24"/>
        </w:rPr>
      </w:pPr>
    </w:p>
    <w:p w14:paraId="5DE65151" w14:textId="4C4CB864" w:rsidR="007A412B" w:rsidRPr="007A412B" w:rsidRDefault="007A412B" w:rsidP="007A412B">
      <w:pPr>
        <w:numPr>
          <w:ilvl w:val="0"/>
          <w:numId w:val="10"/>
        </w:numPr>
        <w:spacing w:line="300" w:lineRule="exact"/>
        <w:ind w:left="0" w:firstLine="0"/>
        <w:contextualSpacing/>
        <w:rPr>
          <w:rFonts w:asciiTheme="majorBidi" w:hAnsiTheme="majorBidi" w:cstheme="majorBidi"/>
          <w:sz w:val="24"/>
          <w:szCs w:val="24"/>
        </w:rPr>
      </w:pPr>
      <w:r w:rsidRPr="007A412B">
        <w:rPr>
          <w:rFonts w:asciiTheme="majorBidi" w:hAnsiTheme="majorBidi" w:cstheme="majorBidi"/>
          <w:b/>
          <w:sz w:val="24"/>
          <w:szCs w:val="24"/>
        </w:rPr>
        <w:t xml:space="preserve">Over the longer-term, sustaining current growth rates will not be possible without faster productivity growth, stronger private investment and higher labor force participation. </w:t>
      </w:r>
      <w:r w:rsidR="002B3BB6">
        <w:rPr>
          <w:rFonts w:asciiTheme="majorBidi" w:hAnsiTheme="majorBidi" w:cstheme="majorBidi"/>
          <w:sz w:val="24"/>
          <w:szCs w:val="24"/>
        </w:rPr>
        <w:t>A</w:t>
      </w:r>
      <w:r w:rsidRPr="007A412B">
        <w:rPr>
          <w:rFonts w:asciiTheme="majorBidi" w:hAnsiTheme="majorBidi" w:cstheme="majorBidi"/>
          <w:sz w:val="24"/>
          <w:szCs w:val="24"/>
        </w:rPr>
        <w:t>dverse demographics, slow productivity growth, low private investment, infrastructure gaps, and regional disparities</w:t>
      </w:r>
      <w:r w:rsidR="002B3BB6">
        <w:rPr>
          <w:rFonts w:asciiTheme="majorBidi" w:hAnsiTheme="majorBidi" w:cstheme="majorBidi"/>
          <w:sz w:val="24"/>
          <w:szCs w:val="24"/>
        </w:rPr>
        <w:t xml:space="preserve"> will pose challenges to the growth prospects</w:t>
      </w:r>
      <w:r w:rsidRPr="007A412B">
        <w:rPr>
          <w:rFonts w:asciiTheme="majorBidi" w:hAnsiTheme="majorBidi" w:cstheme="majorBidi"/>
          <w:sz w:val="24"/>
          <w:szCs w:val="24"/>
        </w:rPr>
        <w:t xml:space="preserve">. The working age population has been falling by 1 percent annually since 2012, and skilled labor shortages have been rising steadily. Some of the recent policy decisions, notably the reversal of the 2013 retirement age increase, will likely exacerbate the decline in the working-age population, and entail additional fiscal costs. Without structural reforms to boost productivity growth, private investment and labor force participation, potential growth will remain below 3 percent, slowing Poland’s convergence to the EU living standards. </w:t>
      </w:r>
    </w:p>
    <w:p w14:paraId="67CA8B88" w14:textId="77777777" w:rsidR="007A412B" w:rsidRPr="007A412B" w:rsidRDefault="007A412B" w:rsidP="007A412B">
      <w:pPr>
        <w:spacing w:after="120" w:line="300" w:lineRule="exact"/>
        <w:contextualSpacing/>
        <w:rPr>
          <w:rFonts w:asciiTheme="majorBidi" w:hAnsiTheme="majorBidi" w:cstheme="majorBidi"/>
          <w:sz w:val="24"/>
          <w:szCs w:val="24"/>
        </w:rPr>
      </w:pPr>
    </w:p>
    <w:p w14:paraId="6057CAF4" w14:textId="6105A6EF" w:rsidR="007A412B" w:rsidRPr="007A412B" w:rsidRDefault="007A412B" w:rsidP="007A412B">
      <w:pPr>
        <w:numPr>
          <w:ilvl w:val="0"/>
          <w:numId w:val="10"/>
        </w:numPr>
        <w:spacing w:after="120" w:line="300" w:lineRule="exact"/>
        <w:ind w:left="0" w:firstLine="0"/>
        <w:contextualSpacing/>
        <w:rPr>
          <w:rFonts w:asciiTheme="majorBidi" w:hAnsiTheme="majorBidi" w:cstheme="majorBidi"/>
          <w:sz w:val="24"/>
          <w:szCs w:val="24"/>
        </w:rPr>
      </w:pPr>
      <w:r w:rsidRPr="007A412B">
        <w:rPr>
          <w:rFonts w:asciiTheme="majorBidi" w:hAnsiTheme="majorBidi" w:cstheme="majorBidi"/>
          <w:b/>
          <w:sz w:val="24"/>
          <w:szCs w:val="24"/>
        </w:rPr>
        <w:t>In the near-term, risks to the outlook are broadly balanced.</w:t>
      </w:r>
      <w:r w:rsidRPr="007A412B">
        <w:rPr>
          <w:rFonts w:asciiTheme="majorBidi" w:hAnsiTheme="majorBidi" w:cstheme="majorBidi"/>
          <w:i/>
          <w:sz w:val="24"/>
          <w:szCs w:val="24"/>
        </w:rPr>
        <w:t xml:space="preserve"> The external environment</w:t>
      </w:r>
      <w:r w:rsidRPr="007A412B">
        <w:rPr>
          <w:rFonts w:asciiTheme="majorBidi" w:hAnsiTheme="majorBidi" w:cstheme="majorBidi"/>
          <w:sz w:val="24"/>
          <w:szCs w:val="24"/>
        </w:rPr>
        <w:t xml:space="preserve"> can improve further if global growth accelerates on stronger policy stimulus in the U.S. and China. The key downside external risks for Poland include a faster-than-expected tightening in the global financial conditions, as well as growth, financial or political shocks in Europe. </w:t>
      </w:r>
      <w:r w:rsidRPr="007A412B">
        <w:rPr>
          <w:rFonts w:asciiTheme="majorBidi" w:hAnsiTheme="majorBidi" w:cstheme="majorBidi"/>
          <w:i/>
          <w:sz w:val="24"/>
          <w:szCs w:val="24"/>
        </w:rPr>
        <w:t>Domestically</w:t>
      </w:r>
      <w:r w:rsidRPr="007A412B">
        <w:rPr>
          <w:rFonts w:asciiTheme="majorBidi" w:hAnsiTheme="majorBidi" w:cstheme="majorBidi"/>
          <w:sz w:val="24"/>
          <w:szCs w:val="24"/>
        </w:rPr>
        <w:t xml:space="preserve">, both growth and inflation can surprise on the upside if the EU funds’ absorption and investment rise further or if wage growth accelerates faster than expected. </w:t>
      </w:r>
      <w:r w:rsidR="00507DAD">
        <w:rPr>
          <w:rFonts w:asciiTheme="majorBidi" w:hAnsiTheme="majorBidi" w:cstheme="majorBidi"/>
          <w:sz w:val="24"/>
          <w:szCs w:val="24"/>
        </w:rPr>
        <w:t>T</w:t>
      </w:r>
      <w:r w:rsidRPr="007A412B">
        <w:rPr>
          <w:rFonts w:asciiTheme="majorBidi" w:hAnsiTheme="majorBidi" w:cstheme="majorBidi"/>
          <w:sz w:val="24"/>
          <w:szCs w:val="24"/>
        </w:rPr>
        <w:t>he downside</w:t>
      </w:r>
      <w:r w:rsidR="00507DAD">
        <w:rPr>
          <w:rFonts w:asciiTheme="majorBidi" w:hAnsiTheme="majorBidi" w:cstheme="majorBidi"/>
          <w:sz w:val="24"/>
          <w:szCs w:val="24"/>
        </w:rPr>
        <w:t xml:space="preserve"> risks include </w:t>
      </w:r>
      <w:r w:rsidRPr="007A412B">
        <w:rPr>
          <w:rFonts w:asciiTheme="majorBidi" w:hAnsiTheme="majorBidi" w:cstheme="majorBidi"/>
          <w:sz w:val="24"/>
          <w:szCs w:val="24"/>
        </w:rPr>
        <w:t>a delayed monetary policy response to higher-than-expected inflation lead</w:t>
      </w:r>
      <w:r w:rsidR="00507DAD">
        <w:rPr>
          <w:rFonts w:asciiTheme="majorBidi" w:hAnsiTheme="majorBidi" w:cstheme="majorBidi"/>
          <w:sz w:val="24"/>
          <w:szCs w:val="24"/>
        </w:rPr>
        <w:t>ing</w:t>
      </w:r>
      <w:r w:rsidRPr="007A412B">
        <w:rPr>
          <w:rFonts w:asciiTheme="majorBidi" w:hAnsiTheme="majorBidi" w:cstheme="majorBidi"/>
          <w:sz w:val="24"/>
          <w:szCs w:val="24"/>
        </w:rPr>
        <w:t xml:space="preserve"> to inflation overshooting its target,</w:t>
      </w:r>
      <w:r w:rsidR="00507DAD">
        <w:rPr>
          <w:rFonts w:asciiTheme="majorBidi" w:hAnsiTheme="majorBidi" w:cstheme="majorBidi"/>
          <w:sz w:val="24"/>
          <w:szCs w:val="24"/>
        </w:rPr>
        <w:t xml:space="preserve"> and</w:t>
      </w:r>
      <w:r w:rsidRPr="007A412B">
        <w:rPr>
          <w:rFonts w:asciiTheme="majorBidi" w:hAnsiTheme="majorBidi" w:cstheme="majorBidi"/>
          <w:sz w:val="24"/>
          <w:szCs w:val="24"/>
        </w:rPr>
        <w:t xml:space="preserve"> a weakening of institutions or fiscal slippages d</w:t>
      </w:r>
      <w:r w:rsidR="00507DAD">
        <w:rPr>
          <w:rFonts w:asciiTheme="majorBidi" w:hAnsiTheme="majorBidi" w:cstheme="majorBidi"/>
          <w:sz w:val="24"/>
          <w:szCs w:val="24"/>
        </w:rPr>
        <w:t>amaging</w:t>
      </w:r>
      <w:r w:rsidRPr="007A412B">
        <w:rPr>
          <w:rFonts w:asciiTheme="majorBidi" w:hAnsiTheme="majorBidi" w:cstheme="majorBidi"/>
          <w:sz w:val="24"/>
          <w:szCs w:val="24"/>
        </w:rPr>
        <w:t xml:space="preserve"> investor confidence. </w:t>
      </w:r>
    </w:p>
    <w:p w14:paraId="7E8D88F4" w14:textId="19C737F9" w:rsidR="007A412B" w:rsidRPr="007A412B" w:rsidRDefault="007A412B" w:rsidP="00B635BF">
      <w:pPr>
        <w:contextualSpacing/>
        <w:rPr>
          <w:rFonts w:asciiTheme="majorBidi" w:hAnsiTheme="majorBidi" w:cstheme="majorBidi"/>
          <w:b/>
          <w:sz w:val="24"/>
          <w:szCs w:val="24"/>
        </w:rPr>
      </w:pPr>
    </w:p>
    <w:p w14:paraId="16CBF40D" w14:textId="77777777" w:rsidR="007A412B" w:rsidRPr="007A412B" w:rsidRDefault="007A412B" w:rsidP="007A412B">
      <w:pPr>
        <w:numPr>
          <w:ilvl w:val="0"/>
          <w:numId w:val="10"/>
        </w:numPr>
        <w:spacing w:after="120" w:line="300" w:lineRule="exact"/>
        <w:ind w:left="0" w:firstLine="0"/>
        <w:contextualSpacing/>
        <w:rPr>
          <w:rFonts w:asciiTheme="majorBidi" w:hAnsiTheme="majorBidi" w:cstheme="majorBidi"/>
          <w:sz w:val="24"/>
          <w:szCs w:val="24"/>
        </w:rPr>
      </w:pPr>
      <w:r w:rsidRPr="007A412B">
        <w:rPr>
          <w:rFonts w:asciiTheme="majorBidi" w:hAnsiTheme="majorBidi" w:cstheme="majorBidi"/>
          <w:b/>
          <w:sz w:val="24"/>
          <w:szCs w:val="24"/>
        </w:rPr>
        <w:t xml:space="preserve">The policy mix should reflect the need to rebuild buffers during good times, and address longer-term growth and fiscal challenges. </w:t>
      </w:r>
      <w:r w:rsidRPr="007A412B">
        <w:rPr>
          <w:rFonts w:asciiTheme="majorBidi" w:hAnsiTheme="majorBidi" w:cstheme="majorBidi"/>
          <w:sz w:val="24"/>
          <w:szCs w:val="24"/>
        </w:rPr>
        <w:t xml:space="preserve">Policies should be calibrated to ensure consistency between the long-term goal of lifting potential growth, the medium-term goal of achieving a durable structural fiscal consolidation and the near-term objective of managing the current cyclical upswing, while maintaining macro-financial stability. </w:t>
      </w:r>
    </w:p>
    <w:p w14:paraId="295E507E" w14:textId="77777777" w:rsidR="007A412B" w:rsidRPr="007A412B" w:rsidRDefault="007A412B" w:rsidP="007A412B">
      <w:pPr>
        <w:spacing w:after="120" w:line="300" w:lineRule="exact"/>
        <w:contextualSpacing/>
        <w:rPr>
          <w:rFonts w:asciiTheme="majorBidi" w:hAnsiTheme="majorBidi" w:cstheme="majorBidi"/>
          <w:sz w:val="24"/>
          <w:szCs w:val="24"/>
        </w:rPr>
      </w:pPr>
    </w:p>
    <w:p w14:paraId="2242CD57" w14:textId="6888FDDE" w:rsidR="007A412B" w:rsidRPr="007A412B" w:rsidRDefault="007A412B" w:rsidP="007A412B">
      <w:pPr>
        <w:numPr>
          <w:ilvl w:val="0"/>
          <w:numId w:val="10"/>
        </w:numPr>
        <w:spacing w:after="120" w:line="300" w:lineRule="exact"/>
        <w:ind w:left="0" w:firstLine="0"/>
        <w:contextualSpacing/>
        <w:rPr>
          <w:rFonts w:asciiTheme="majorBidi" w:hAnsiTheme="majorBidi" w:cstheme="majorBidi"/>
          <w:sz w:val="24"/>
          <w:szCs w:val="24"/>
        </w:rPr>
      </w:pPr>
      <w:r w:rsidRPr="007A412B">
        <w:rPr>
          <w:rFonts w:asciiTheme="majorBidi" w:hAnsiTheme="majorBidi" w:cstheme="majorBidi"/>
          <w:b/>
          <w:sz w:val="24"/>
          <w:szCs w:val="24"/>
        </w:rPr>
        <w:t xml:space="preserve">The fiscal consolidation should start as soon as possible. </w:t>
      </w:r>
      <w:r w:rsidRPr="007A412B">
        <w:rPr>
          <w:rFonts w:asciiTheme="majorBidi" w:hAnsiTheme="majorBidi" w:cstheme="majorBidi"/>
          <w:sz w:val="24"/>
          <w:szCs w:val="24"/>
        </w:rPr>
        <w:t xml:space="preserve">The 2017 budget deficit of 2.9 percent of GDP is only a shock away from the EU’s Excessive Deficit Procedure (EDP) limit of 3 percent of GDP. The fiscal policy priorities for this year are to avoid breaching the EDP limit and to save any revenue </w:t>
      </w:r>
      <w:proofErr w:type="spellStart"/>
      <w:r w:rsidRPr="007A412B">
        <w:rPr>
          <w:rFonts w:asciiTheme="majorBidi" w:hAnsiTheme="majorBidi" w:cstheme="majorBidi"/>
          <w:sz w:val="24"/>
          <w:szCs w:val="24"/>
        </w:rPr>
        <w:t>overperformance</w:t>
      </w:r>
      <w:proofErr w:type="spellEnd"/>
      <w:r w:rsidRPr="007A412B">
        <w:rPr>
          <w:rFonts w:asciiTheme="majorBidi" w:hAnsiTheme="majorBidi" w:cstheme="majorBidi"/>
          <w:sz w:val="24"/>
          <w:szCs w:val="24"/>
        </w:rPr>
        <w:t xml:space="preserve"> from stronger-than-envisaged tax collection. During </w:t>
      </w:r>
      <w:r w:rsidRPr="007A412B">
        <w:rPr>
          <w:rFonts w:asciiTheme="majorBidi" w:hAnsiTheme="majorBidi" w:cstheme="majorBidi"/>
          <w:bCs/>
          <w:sz w:val="24"/>
          <w:szCs w:val="24"/>
        </w:rPr>
        <w:t>2018–19, the structural deficit should be reduced by 0.5 percent of GDP each year</w:t>
      </w:r>
      <w:r w:rsidR="002B3BB6">
        <w:rPr>
          <w:rFonts w:asciiTheme="majorBidi" w:hAnsiTheme="majorBidi" w:cstheme="majorBidi"/>
          <w:bCs/>
          <w:sz w:val="24"/>
          <w:szCs w:val="24"/>
        </w:rPr>
        <w:t xml:space="preserve"> (</w:t>
      </w:r>
      <w:r w:rsidRPr="007A412B">
        <w:rPr>
          <w:rFonts w:asciiTheme="majorBidi" w:hAnsiTheme="majorBidi" w:cstheme="majorBidi"/>
          <w:bCs/>
          <w:sz w:val="24"/>
          <w:szCs w:val="24"/>
        </w:rPr>
        <w:t xml:space="preserve">as set out in the authorities’ 2017 Convergence Program Update) to reverse the current pro-cyclical stance and to build a “safety buffer” relative to the EDP limit. Beyond 2019, were ambitious growth-enhancing structural reforms to be adopted, the pace of consolidation could be adjusted to accommodate any direct fiscal costs. However, the medium-term objective (MTO) – a structural deficit of </w:t>
      </w:r>
      <w:r w:rsidRPr="007A412B">
        <w:rPr>
          <w:rFonts w:asciiTheme="majorBidi" w:hAnsiTheme="majorBidi" w:cstheme="majorBidi"/>
          <w:iCs/>
          <w:sz w:val="24"/>
          <w:szCs w:val="24"/>
        </w:rPr>
        <w:t>1 percent of GDP – will still need be reached no later than 2023</w:t>
      </w:r>
      <w:r w:rsidRPr="007A412B">
        <w:rPr>
          <w:rFonts w:asciiTheme="majorBidi" w:hAnsiTheme="majorBidi" w:cstheme="majorBidi"/>
          <w:bCs/>
          <w:sz w:val="24"/>
          <w:szCs w:val="24"/>
        </w:rPr>
        <w:t>, given projected aging costs, exacerbated by the retirement age reduction, and in anticipation of some phasing out of the EU funds.</w:t>
      </w:r>
    </w:p>
    <w:p w14:paraId="77CC34BB" w14:textId="77777777" w:rsidR="007A412B" w:rsidRPr="007A412B" w:rsidRDefault="007A412B" w:rsidP="007A412B">
      <w:pPr>
        <w:rPr>
          <w:rFonts w:asciiTheme="majorBidi" w:hAnsiTheme="majorBidi" w:cstheme="majorBidi"/>
          <w:sz w:val="24"/>
          <w:szCs w:val="24"/>
        </w:rPr>
      </w:pPr>
    </w:p>
    <w:p w14:paraId="700FD7A0" w14:textId="77777777" w:rsidR="007A412B" w:rsidRPr="007A412B" w:rsidRDefault="007A412B" w:rsidP="007A412B">
      <w:pPr>
        <w:numPr>
          <w:ilvl w:val="0"/>
          <w:numId w:val="10"/>
        </w:numPr>
        <w:spacing w:after="120" w:line="300" w:lineRule="exact"/>
        <w:ind w:left="0" w:firstLine="0"/>
        <w:rPr>
          <w:rFonts w:asciiTheme="majorBidi" w:hAnsiTheme="majorBidi" w:cstheme="majorBidi"/>
          <w:sz w:val="24"/>
          <w:szCs w:val="24"/>
        </w:rPr>
      </w:pPr>
      <w:r w:rsidRPr="007A412B">
        <w:rPr>
          <w:rFonts w:asciiTheme="majorBidi" w:hAnsiTheme="majorBidi" w:cstheme="majorBidi"/>
          <w:b/>
          <w:sz w:val="24"/>
          <w:szCs w:val="24"/>
        </w:rPr>
        <w:lastRenderedPageBreak/>
        <w:t>The f</w:t>
      </w:r>
      <w:r w:rsidRPr="007A412B">
        <w:rPr>
          <w:rFonts w:asciiTheme="majorBidi" w:hAnsiTheme="majorBidi" w:cstheme="majorBidi"/>
          <w:b/>
          <w:bCs/>
          <w:sz w:val="24"/>
          <w:szCs w:val="24"/>
        </w:rPr>
        <w:t>iscal adjustment should be based on high-quality measures and conservative estimates of the expected yield from the tax administration reforms</w:t>
      </w:r>
      <w:r w:rsidRPr="007A412B">
        <w:rPr>
          <w:rFonts w:asciiTheme="majorBidi" w:hAnsiTheme="majorBidi" w:cstheme="majorBidi"/>
          <w:bCs/>
          <w:i/>
          <w:sz w:val="24"/>
          <w:szCs w:val="24"/>
        </w:rPr>
        <w:t xml:space="preserve">. </w:t>
      </w:r>
      <w:r w:rsidRPr="007A412B">
        <w:rPr>
          <w:rFonts w:asciiTheme="majorBidi" w:hAnsiTheme="majorBidi" w:cstheme="majorBidi"/>
          <w:sz w:val="24"/>
          <w:szCs w:val="24"/>
        </w:rPr>
        <w:t>The authorities’ efforts in improving tax administration are commendable and the recent improvement in the tax collection is very encouraging, but future gains are uncertain, and therefore, should be budgeted conservatively. While spending limits under the stabilizing expenditure rule force consolidation to reach the MTO, it would be desirable to identify specific permanent measures in advance to enhance the quality and credibility of the adjustment.</w:t>
      </w:r>
      <w:r w:rsidRPr="007A412B">
        <w:rPr>
          <w:rFonts w:asciiTheme="majorBidi" w:hAnsiTheme="majorBidi" w:cstheme="majorBidi"/>
          <w:bCs/>
          <w:sz w:val="24"/>
          <w:szCs w:val="24"/>
        </w:rPr>
        <w:t xml:space="preserve"> </w:t>
      </w:r>
      <w:r w:rsidRPr="007A412B">
        <w:rPr>
          <w:rFonts w:asciiTheme="majorBidi" w:hAnsiTheme="majorBidi" w:cstheme="majorBidi"/>
          <w:sz w:val="24"/>
          <w:szCs w:val="24"/>
        </w:rPr>
        <w:t xml:space="preserve">The additional fiscal consolidation measures could include keeping the VAT rate at the current level beyond 2018, unification of multiple VAT rates, rationalizing current spending through expenditure reviews and gradually phasing out preferential pension regimes. The reversal of the 2013 retirement age increase will have lingering effects on public finances and on the long-term sustainability of the pension system. Mitigating measures could aim to increase incentives for seniors to remain in the workforce longer, but may not be sufficient to fully offset the negative impact of the 2013 retirement reform reversal on labor supply, public finances and pension system. </w:t>
      </w:r>
    </w:p>
    <w:p w14:paraId="2AD01255" w14:textId="77777777" w:rsidR="007A412B" w:rsidRPr="007A412B" w:rsidRDefault="007A412B" w:rsidP="007A412B">
      <w:pPr>
        <w:rPr>
          <w:rFonts w:asciiTheme="majorBidi" w:hAnsiTheme="majorBidi" w:cstheme="majorBidi"/>
          <w:sz w:val="24"/>
          <w:szCs w:val="24"/>
        </w:rPr>
      </w:pPr>
    </w:p>
    <w:p w14:paraId="193EE5A9" w14:textId="6A8015A6" w:rsidR="00F0166A" w:rsidRDefault="007A412B" w:rsidP="00F0166A">
      <w:pPr>
        <w:numPr>
          <w:ilvl w:val="0"/>
          <w:numId w:val="10"/>
        </w:numPr>
        <w:spacing w:after="120" w:line="300" w:lineRule="exact"/>
        <w:ind w:left="0" w:firstLine="0"/>
        <w:rPr>
          <w:rFonts w:asciiTheme="majorBidi" w:hAnsiTheme="majorBidi" w:cstheme="majorBidi"/>
          <w:sz w:val="24"/>
          <w:szCs w:val="24"/>
        </w:rPr>
      </w:pPr>
      <w:r w:rsidRPr="007A412B">
        <w:rPr>
          <w:rFonts w:asciiTheme="majorBidi" w:hAnsiTheme="majorBidi" w:cstheme="majorBidi"/>
          <w:b/>
          <w:sz w:val="24"/>
          <w:szCs w:val="24"/>
        </w:rPr>
        <w:t>The monetary stance is appropriate for now, but the central bank should stand ready to raise the policy rate if accelerating core inflation threatens the inflation objectives</w:t>
      </w:r>
      <w:r w:rsidRPr="007A412B">
        <w:rPr>
          <w:rFonts w:asciiTheme="majorBidi" w:hAnsiTheme="majorBidi" w:cstheme="majorBidi"/>
          <w:b/>
          <w:i/>
          <w:sz w:val="24"/>
          <w:szCs w:val="24"/>
        </w:rPr>
        <w:t>.</w:t>
      </w:r>
      <w:r w:rsidRPr="007A412B">
        <w:rPr>
          <w:rFonts w:asciiTheme="majorBidi" w:hAnsiTheme="majorBidi" w:cstheme="majorBidi"/>
          <w:i/>
          <w:sz w:val="24"/>
          <w:szCs w:val="24"/>
        </w:rPr>
        <w:t xml:space="preserve"> </w:t>
      </w:r>
      <w:r w:rsidRPr="007A412B">
        <w:rPr>
          <w:rFonts w:asciiTheme="majorBidi" w:hAnsiTheme="majorBidi" w:cstheme="majorBidi"/>
          <w:sz w:val="24"/>
          <w:szCs w:val="24"/>
        </w:rPr>
        <w:t xml:space="preserve">The incipient domestic inflationary pressures should be monitored closely, given an opening positive output gap, a pro-cyclical fiscal stance, a negative </w:t>
      </w:r>
      <w:r w:rsidR="00507DAD">
        <w:rPr>
          <w:rFonts w:asciiTheme="majorBidi" w:hAnsiTheme="majorBidi" w:cstheme="majorBidi"/>
          <w:sz w:val="24"/>
          <w:szCs w:val="24"/>
        </w:rPr>
        <w:t xml:space="preserve">short-term </w:t>
      </w:r>
      <w:r w:rsidRPr="007A412B">
        <w:rPr>
          <w:rFonts w:asciiTheme="majorBidi" w:hAnsiTheme="majorBidi" w:cstheme="majorBidi"/>
          <w:sz w:val="24"/>
          <w:szCs w:val="24"/>
        </w:rPr>
        <w:t xml:space="preserve">real interest rate, and a record-low unemployment rate. Wage growth, though still moderate, may be accelerating, with signs that pressures are on the rise (firms’ intentions to raise wages, skilled labor shortages, rising PPI inflation). Given uncertainty about the </w:t>
      </w:r>
      <w:r w:rsidR="00507DAD">
        <w:rPr>
          <w:rFonts w:asciiTheme="majorBidi" w:hAnsiTheme="majorBidi" w:cstheme="majorBidi"/>
          <w:sz w:val="24"/>
          <w:szCs w:val="24"/>
        </w:rPr>
        <w:t xml:space="preserve">possible mitigating factors, including immigration, on </w:t>
      </w:r>
      <w:r w:rsidRPr="007A412B">
        <w:rPr>
          <w:rFonts w:asciiTheme="majorBidi" w:hAnsiTheme="majorBidi" w:cstheme="majorBidi"/>
          <w:sz w:val="24"/>
          <w:szCs w:val="24"/>
        </w:rPr>
        <w:t xml:space="preserve">future pace of wage growth, policy decisions should be data dependent, taking into account the fiscal stance and monetary transmission lags to avoid inflation overshooting its target. A more </w:t>
      </w:r>
      <w:proofErr w:type="spellStart"/>
      <w:r w:rsidRPr="007A412B">
        <w:rPr>
          <w:rFonts w:asciiTheme="majorBidi" w:hAnsiTheme="majorBidi" w:cstheme="majorBidi"/>
          <w:sz w:val="24"/>
          <w:szCs w:val="24"/>
        </w:rPr>
        <w:t>procyclical</w:t>
      </w:r>
      <w:proofErr w:type="spellEnd"/>
      <w:r w:rsidRPr="007A412B">
        <w:rPr>
          <w:rFonts w:asciiTheme="majorBidi" w:hAnsiTheme="majorBidi" w:cstheme="majorBidi"/>
          <w:sz w:val="24"/>
          <w:szCs w:val="24"/>
        </w:rPr>
        <w:t xml:space="preserve"> fiscal stance could entail a need for a tighter monetary stance. A clear communication strategy should </w:t>
      </w:r>
      <w:r w:rsidR="00507DAD">
        <w:rPr>
          <w:rFonts w:asciiTheme="majorBidi" w:hAnsiTheme="majorBidi" w:cstheme="majorBidi"/>
          <w:sz w:val="24"/>
          <w:szCs w:val="24"/>
        </w:rPr>
        <w:t xml:space="preserve">stipulate the circumstances </w:t>
      </w:r>
      <w:r w:rsidRPr="007A412B">
        <w:rPr>
          <w:rFonts w:asciiTheme="majorBidi" w:hAnsiTheme="majorBidi" w:cstheme="majorBidi"/>
          <w:sz w:val="24"/>
          <w:szCs w:val="24"/>
        </w:rPr>
        <w:t xml:space="preserve">for a rate change instead of providing a time frame for how long the rates are likely to stay on hold. </w:t>
      </w:r>
    </w:p>
    <w:p w14:paraId="61B8A55B" w14:textId="26E04128" w:rsidR="00F0166A" w:rsidRPr="00F0166A" w:rsidRDefault="00F0166A" w:rsidP="00F0166A"/>
    <w:p w14:paraId="65A2A412" w14:textId="6B20E45A" w:rsidR="007A412B" w:rsidRPr="007A412B" w:rsidRDefault="007A412B" w:rsidP="007A412B">
      <w:pPr>
        <w:numPr>
          <w:ilvl w:val="0"/>
          <w:numId w:val="10"/>
        </w:numPr>
        <w:spacing w:line="300" w:lineRule="exact"/>
        <w:ind w:left="0" w:firstLine="0"/>
        <w:contextualSpacing/>
        <w:rPr>
          <w:rFonts w:asciiTheme="majorBidi" w:hAnsiTheme="majorBidi" w:cstheme="majorBidi"/>
          <w:sz w:val="24"/>
          <w:szCs w:val="24"/>
        </w:rPr>
      </w:pPr>
      <w:r w:rsidRPr="007A412B">
        <w:rPr>
          <w:rFonts w:asciiTheme="majorBidi" w:hAnsiTheme="majorBidi" w:cstheme="majorBidi"/>
          <w:b/>
          <w:sz w:val="24"/>
          <w:szCs w:val="24"/>
        </w:rPr>
        <w:t>The financial sector’s resilience should be preserved, to maintain its ability to support growth.</w:t>
      </w:r>
      <w:r w:rsidRPr="007A412B">
        <w:rPr>
          <w:rFonts w:asciiTheme="majorBidi" w:hAnsiTheme="majorBidi" w:cstheme="majorBidi"/>
          <w:i/>
          <w:sz w:val="24"/>
          <w:szCs w:val="24"/>
        </w:rPr>
        <w:t xml:space="preserve"> </w:t>
      </w:r>
      <w:r w:rsidRPr="007A412B">
        <w:rPr>
          <w:rFonts w:asciiTheme="majorBidi" w:hAnsiTheme="majorBidi" w:cstheme="majorBidi"/>
          <w:sz w:val="24"/>
          <w:szCs w:val="24"/>
        </w:rPr>
        <w:t xml:space="preserve">The banking system remains well capitalized and liquid. However, banks’ profitability continues to decline, as the challenges of operating in a low interest rate environment have been compounded by higher capital requirements, additional tax obligations and other required contributions. The impact of the </w:t>
      </w:r>
      <w:r w:rsidRPr="007A412B">
        <w:rPr>
          <w:rFonts w:asciiTheme="majorBidi" w:hAnsiTheme="majorBidi" w:cstheme="majorBidi"/>
          <w:i/>
          <w:sz w:val="24"/>
          <w:szCs w:val="24"/>
        </w:rPr>
        <w:t>bank asset tax</w:t>
      </w:r>
      <w:r w:rsidRPr="007A412B">
        <w:rPr>
          <w:rFonts w:asciiTheme="majorBidi" w:hAnsiTheme="majorBidi" w:cstheme="majorBidi"/>
          <w:sz w:val="24"/>
          <w:szCs w:val="24"/>
        </w:rPr>
        <w:t xml:space="preserve">, which already induced banks to significantly increase holdings of government bonds, should be monitored and the tax should be adjusted, if adverse effects on banks’ activities and risk profiles become apparent. </w:t>
      </w:r>
      <w:r w:rsidRPr="007A412B">
        <w:rPr>
          <w:rFonts w:asciiTheme="majorBidi" w:hAnsiTheme="majorBidi" w:cstheme="majorBidi"/>
          <w:bCs/>
          <w:sz w:val="24"/>
          <w:szCs w:val="24"/>
        </w:rPr>
        <w:t>A tax on banks’ profits and remuneration is a less distortionary alternative to the bank asset tax</w:t>
      </w:r>
      <w:r w:rsidRPr="007A412B">
        <w:rPr>
          <w:rFonts w:asciiTheme="majorBidi" w:hAnsiTheme="majorBidi" w:cstheme="majorBidi"/>
          <w:bCs/>
          <w:i/>
          <w:sz w:val="24"/>
          <w:szCs w:val="24"/>
        </w:rPr>
        <w:t xml:space="preserve">. </w:t>
      </w:r>
      <w:r w:rsidRPr="007A412B">
        <w:rPr>
          <w:rFonts w:asciiTheme="majorBidi" w:hAnsiTheme="majorBidi" w:cstheme="majorBidi"/>
          <w:sz w:val="24"/>
          <w:szCs w:val="24"/>
        </w:rPr>
        <w:t xml:space="preserve">The final solution to address consumer protection concerns related to </w:t>
      </w:r>
      <w:r w:rsidRPr="007A412B">
        <w:rPr>
          <w:rFonts w:asciiTheme="majorBidi" w:hAnsiTheme="majorBidi" w:cstheme="majorBidi"/>
          <w:i/>
          <w:sz w:val="24"/>
          <w:szCs w:val="24"/>
        </w:rPr>
        <w:t>foreign currency mortgages</w:t>
      </w:r>
      <w:r w:rsidRPr="007A412B">
        <w:rPr>
          <w:rFonts w:asciiTheme="majorBidi" w:hAnsiTheme="majorBidi" w:cstheme="majorBidi"/>
          <w:sz w:val="24"/>
          <w:szCs w:val="24"/>
        </w:rPr>
        <w:t xml:space="preserve"> should preserve banks’ capacity for internal capital generation and lending. A voluntary case-by-case restructuring remains the best approach. The </w:t>
      </w:r>
      <w:r w:rsidRPr="007A412B">
        <w:rPr>
          <w:rFonts w:asciiTheme="majorBidi" w:hAnsiTheme="majorBidi" w:cstheme="majorBidi"/>
          <w:sz w:val="24"/>
          <w:szCs w:val="24"/>
        </w:rPr>
        <w:lastRenderedPageBreak/>
        <w:t>difficulties in the credit-union and cooperative bank segments should be addressed in a sustainable way, including by encouraging further consolidation</w:t>
      </w:r>
      <w:r w:rsidR="00507DAD">
        <w:rPr>
          <w:rFonts w:asciiTheme="majorBidi" w:hAnsiTheme="majorBidi" w:cstheme="majorBidi"/>
          <w:sz w:val="24"/>
          <w:szCs w:val="24"/>
        </w:rPr>
        <w:t>/integration and ensuring an orderly market exit of unviable firms</w:t>
      </w:r>
      <w:r w:rsidRPr="007A412B">
        <w:rPr>
          <w:rFonts w:asciiTheme="majorBidi" w:hAnsiTheme="majorBidi" w:cstheme="majorBidi"/>
          <w:sz w:val="24"/>
          <w:szCs w:val="24"/>
        </w:rPr>
        <w:t xml:space="preserve">. The increasing share of the </w:t>
      </w:r>
      <w:r w:rsidRPr="007A412B">
        <w:rPr>
          <w:rFonts w:asciiTheme="majorBidi" w:hAnsiTheme="majorBidi" w:cstheme="majorBidi"/>
          <w:i/>
          <w:sz w:val="24"/>
          <w:szCs w:val="24"/>
        </w:rPr>
        <w:t>state-</w:t>
      </w:r>
      <w:r w:rsidR="002B3BB6">
        <w:rPr>
          <w:rFonts w:asciiTheme="majorBidi" w:hAnsiTheme="majorBidi" w:cstheme="majorBidi"/>
          <w:i/>
          <w:sz w:val="24"/>
          <w:szCs w:val="24"/>
        </w:rPr>
        <w:t>controlled</w:t>
      </w:r>
      <w:r w:rsidRPr="007A412B">
        <w:rPr>
          <w:rFonts w:asciiTheme="majorBidi" w:hAnsiTheme="majorBidi" w:cstheme="majorBidi"/>
          <w:i/>
          <w:sz w:val="24"/>
          <w:szCs w:val="24"/>
        </w:rPr>
        <w:t xml:space="preserve"> intermediaries </w:t>
      </w:r>
      <w:r w:rsidRPr="007A412B">
        <w:rPr>
          <w:rFonts w:asciiTheme="majorBidi" w:hAnsiTheme="majorBidi" w:cstheme="majorBidi"/>
          <w:iCs/>
          <w:sz w:val="24"/>
          <w:szCs w:val="24"/>
        </w:rPr>
        <w:t xml:space="preserve">in the Polish financial sector, in combination with rising bank holdings of sovereign bonds, </w:t>
      </w:r>
      <w:r w:rsidRPr="007A412B">
        <w:rPr>
          <w:rFonts w:asciiTheme="majorBidi" w:hAnsiTheme="majorBidi" w:cstheme="majorBidi"/>
          <w:sz w:val="24"/>
          <w:szCs w:val="24"/>
        </w:rPr>
        <w:t xml:space="preserve">may create new prudential and </w:t>
      </w:r>
      <w:proofErr w:type="spellStart"/>
      <w:r w:rsidRPr="007A412B">
        <w:rPr>
          <w:rFonts w:asciiTheme="majorBidi" w:hAnsiTheme="majorBidi" w:cstheme="majorBidi"/>
          <w:sz w:val="24"/>
          <w:szCs w:val="24"/>
        </w:rPr>
        <w:t>macroprudential</w:t>
      </w:r>
      <w:proofErr w:type="spellEnd"/>
      <w:r w:rsidRPr="007A412B">
        <w:rPr>
          <w:rFonts w:asciiTheme="majorBidi" w:hAnsiTheme="majorBidi" w:cstheme="majorBidi"/>
          <w:sz w:val="24"/>
          <w:szCs w:val="24"/>
        </w:rPr>
        <w:t xml:space="preserve"> challenges. </w:t>
      </w:r>
      <w:r w:rsidRPr="007A412B" w:rsidDel="00321319">
        <w:rPr>
          <w:rFonts w:asciiTheme="majorBidi" w:hAnsiTheme="majorBidi" w:cstheme="majorBidi"/>
          <w:sz w:val="24"/>
          <w:szCs w:val="24"/>
        </w:rPr>
        <w:t xml:space="preserve">In this regard, </w:t>
      </w:r>
      <w:r w:rsidRPr="007A412B">
        <w:rPr>
          <w:rFonts w:asciiTheme="majorBidi" w:hAnsiTheme="majorBidi" w:cstheme="majorBidi"/>
          <w:sz w:val="24"/>
          <w:szCs w:val="24"/>
        </w:rPr>
        <w:t xml:space="preserve">maintaining a strong and independent supervision and robust </w:t>
      </w:r>
      <w:proofErr w:type="spellStart"/>
      <w:r w:rsidRPr="007A412B" w:rsidDel="00321319">
        <w:rPr>
          <w:rFonts w:asciiTheme="majorBidi" w:hAnsiTheme="majorBidi" w:cstheme="majorBidi"/>
          <w:sz w:val="24"/>
          <w:szCs w:val="24"/>
        </w:rPr>
        <w:t>macroprudential</w:t>
      </w:r>
      <w:proofErr w:type="spellEnd"/>
      <w:r w:rsidRPr="007A412B" w:rsidDel="00321319">
        <w:rPr>
          <w:rFonts w:asciiTheme="majorBidi" w:hAnsiTheme="majorBidi" w:cstheme="majorBidi"/>
          <w:sz w:val="24"/>
          <w:szCs w:val="24"/>
        </w:rPr>
        <w:t xml:space="preserve"> </w:t>
      </w:r>
      <w:r w:rsidRPr="007A412B">
        <w:rPr>
          <w:rFonts w:asciiTheme="majorBidi" w:hAnsiTheme="majorBidi" w:cstheme="majorBidi"/>
          <w:sz w:val="24"/>
          <w:szCs w:val="24"/>
        </w:rPr>
        <w:t>framework</w:t>
      </w:r>
      <w:r w:rsidRPr="007A412B" w:rsidDel="00321319">
        <w:rPr>
          <w:rFonts w:asciiTheme="majorBidi" w:hAnsiTheme="majorBidi" w:cstheme="majorBidi"/>
          <w:sz w:val="24"/>
          <w:szCs w:val="24"/>
        </w:rPr>
        <w:t xml:space="preserve"> are</w:t>
      </w:r>
      <w:r w:rsidRPr="007A412B">
        <w:rPr>
          <w:rFonts w:asciiTheme="majorBidi" w:hAnsiTheme="majorBidi" w:cstheme="majorBidi"/>
          <w:sz w:val="24"/>
          <w:szCs w:val="24"/>
        </w:rPr>
        <w:t xml:space="preserve"> critical</w:t>
      </w:r>
      <w:r w:rsidRPr="007A412B" w:rsidDel="00321319">
        <w:rPr>
          <w:rFonts w:asciiTheme="majorBidi" w:hAnsiTheme="majorBidi" w:cstheme="majorBidi"/>
          <w:sz w:val="24"/>
          <w:szCs w:val="24"/>
        </w:rPr>
        <w:t xml:space="preserve">. </w:t>
      </w:r>
    </w:p>
    <w:p w14:paraId="2B7D2806" w14:textId="77777777" w:rsidR="007A412B" w:rsidRPr="007A412B" w:rsidRDefault="007A412B" w:rsidP="007A412B">
      <w:pPr>
        <w:spacing w:line="300" w:lineRule="exact"/>
        <w:contextualSpacing/>
        <w:rPr>
          <w:rFonts w:asciiTheme="majorBidi" w:hAnsiTheme="majorBidi" w:cstheme="majorBidi"/>
          <w:sz w:val="24"/>
          <w:szCs w:val="24"/>
        </w:rPr>
      </w:pPr>
    </w:p>
    <w:p w14:paraId="7B752DB7" w14:textId="67E53F5D" w:rsidR="007A412B" w:rsidRPr="007A412B" w:rsidRDefault="007A412B" w:rsidP="007A412B">
      <w:pPr>
        <w:numPr>
          <w:ilvl w:val="0"/>
          <w:numId w:val="10"/>
        </w:numPr>
        <w:spacing w:line="300" w:lineRule="exact"/>
        <w:ind w:left="0" w:firstLine="0"/>
        <w:contextualSpacing/>
        <w:rPr>
          <w:rFonts w:asciiTheme="majorBidi" w:hAnsiTheme="majorBidi" w:cstheme="majorBidi"/>
          <w:sz w:val="24"/>
          <w:szCs w:val="24"/>
        </w:rPr>
      </w:pPr>
      <w:r w:rsidRPr="007A412B">
        <w:rPr>
          <w:rFonts w:asciiTheme="majorBidi" w:hAnsiTheme="majorBidi" w:cstheme="majorBidi"/>
          <w:b/>
          <w:sz w:val="24"/>
          <w:szCs w:val="24"/>
        </w:rPr>
        <w:t>Structural reforms to boost Poland’s growth potential are key to offset demographic pressures and ensure continued convergence</w:t>
      </w:r>
      <w:r w:rsidRPr="007A412B">
        <w:rPr>
          <w:rFonts w:asciiTheme="majorBidi" w:hAnsiTheme="majorBidi" w:cstheme="majorBidi"/>
          <w:sz w:val="24"/>
          <w:szCs w:val="24"/>
        </w:rPr>
        <w:t>. In this regard, a formal adoption of the comprehensive Responsible Development Strategy (RDS) in February 2017 is welcome. The RDS aims to achieve strong sustainable and inclusive growth through reindustrialization, development of innovative firms and SMEs, international expansion, mobilizing capital for development, supporting social and regional development and increasing the efficiency of institutions. While many elements of the RDS look promising, much work lies ahead to determine the key priorities and translate them into concrete reform plans, which should be closely coordinated with the authorities’ medium-term fiscal consolidation strategy outlined in the Convergence Program. With fiscal space</w:t>
      </w:r>
      <w:r w:rsidR="002B3BB6" w:rsidRPr="002B3BB6">
        <w:rPr>
          <w:rFonts w:asciiTheme="majorBidi" w:hAnsiTheme="majorBidi" w:cstheme="majorBidi"/>
          <w:sz w:val="24"/>
          <w:szCs w:val="24"/>
        </w:rPr>
        <w:t xml:space="preserve"> </w:t>
      </w:r>
      <w:r w:rsidR="002B3BB6" w:rsidRPr="007A412B">
        <w:rPr>
          <w:rFonts w:asciiTheme="majorBidi" w:hAnsiTheme="majorBidi" w:cstheme="majorBidi"/>
          <w:sz w:val="24"/>
          <w:szCs w:val="24"/>
        </w:rPr>
        <w:t>constrained</w:t>
      </w:r>
      <w:r w:rsidR="002B3BB6">
        <w:rPr>
          <w:rFonts w:asciiTheme="majorBidi" w:hAnsiTheme="majorBidi" w:cstheme="majorBidi"/>
          <w:sz w:val="24"/>
          <w:szCs w:val="24"/>
        </w:rPr>
        <w:t xml:space="preserve"> by the</w:t>
      </w:r>
      <w:r w:rsidR="002B3BB6" w:rsidRPr="007A412B">
        <w:rPr>
          <w:rFonts w:asciiTheme="majorBidi" w:hAnsiTheme="majorBidi" w:cstheme="majorBidi"/>
          <w:sz w:val="24"/>
          <w:szCs w:val="24"/>
        </w:rPr>
        <w:t xml:space="preserve"> stabilizing expenditure rule</w:t>
      </w:r>
      <w:r w:rsidRPr="007A412B">
        <w:rPr>
          <w:rFonts w:asciiTheme="majorBidi" w:hAnsiTheme="majorBidi" w:cstheme="majorBidi"/>
          <w:sz w:val="24"/>
          <w:szCs w:val="24"/>
        </w:rPr>
        <w:t>, the priority could be given to reforms that do not require additional public expenditures, while fiscally costly reforms could, in the first instance, be financed by the EU funds.</w:t>
      </w:r>
    </w:p>
    <w:p w14:paraId="5967C6E1" w14:textId="77777777" w:rsidR="007A412B" w:rsidRPr="007A412B" w:rsidRDefault="007A412B" w:rsidP="007A412B">
      <w:pPr>
        <w:spacing w:line="300" w:lineRule="exact"/>
        <w:contextualSpacing/>
        <w:rPr>
          <w:rFonts w:asciiTheme="majorBidi" w:hAnsiTheme="majorBidi" w:cstheme="majorBidi"/>
          <w:sz w:val="24"/>
          <w:szCs w:val="24"/>
        </w:rPr>
      </w:pPr>
    </w:p>
    <w:p w14:paraId="7D459A40" w14:textId="60BCB790" w:rsidR="007A412B" w:rsidRPr="007A412B" w:rsidRDefault="007A412B" w:rsidP="007A412B">
      <w:pPr>
        <w:numPr>
          <w:ilvl w:val="0"/>
          <w:numId w:val="10"/>
        </w:numPr>
        <w:spacing w:line="300" w:lineRule="exact"/>
        <w:ind w:left="0" w:firstLine="0"/>
        <w:contextualSpacing/>
        <w:rPr>
          <w:rFonts w:asciiTheme="majorBidi" w:hAnsiTheme="majorBidi" w:cstheme="majorBidi"/>
          <w:sz w:val="24"/>
          <w:szCs w:val="24"/>
        </w:rPr>
      </w:pPr>
      <w:r w:rsidRPr="007A412B">
        <w:rPr>
          <w:rFonts w:asciiTheme="majorBidi" w:hAnsiTheme="majorBidi" w:cstheme="majorBidi"/>
          <w:b/>
          <w:sz w:val="24"/>
          <w:szCs w:val="24"/>
        </w:rPr>
        <w:t>The development strategy should focus on improving Poland’s institutional and business environment to make it more attractive for both domestic and foreign investors.</w:t>
      </w:r>
      <w:r w:rsidRPr="007A412B">
        <w:rPr>
          <w:rFonts w:asciiTheme="majorBidi" w:hAnsiTheme="majorBidi" w:cstheme="majorBidi"/>
          <w:sz w:val="24"/>
          <w:szCs w:val="24"/>
        </w:rPr>
        <w:t xml:space="preserve"> This would require efficient institutions and more growth-friendly regulations, addressing shortages of skilled labor and infrastructure gaps, as well as supporting innovation. </w:t>
      </w:r>
      <w:r w:rsidRPr="007A412B">
        <w:rPr>
          <w:rFonts w:asciiTheme="majorBidi" w:hAnsiTheme="majorBidi" w:cstheme="majorBidi"/>
          <w:i/>
          <w:sz w:val="24"/>
          <w:szCs w:val="24"/>
        </w:rPr>
        <w:t>In product markets</w:t>
      </w:r>
      <w:r w:rsidRPr="007A412B">
        <w:rPr>
          <w:rFonts w:asciiTheme="majorBidi" w:hAnsiTheme="majorBidi" w:cstheme="majorBidi"/>
          <w:sz w:val="24"/>
          <w:szCs w:val="24"/>
        </w:rPr>
        <w:t xml:space="preserve">, there is scope for reducing administrative burdens on start-ups and deregulating professional services and network industries. </w:t>
      </w:r>
      <w:r w:rsidRPr="007A412B">
        <w:rPr>
          <w:rFonts w:asciiTheme="majorBidi" w:hAnsiTheme="majorBidi" w:cstheme="majorBidi"/>
          <w:i/>
          <w:sz w:val="24"/>
          <w:szCs w:val="24"/>
        </w:rPr>
        <w:t>In labor markets</w:t>
      </w:r>
      <w:r w:rsidRPr="007A412B">
        <w:rPr>
          <w:rFonts w:asciiTheme="majorBidi" w:hAnsiTheme="majorBidi" w:cstheme="majorBidi"/>
          <w:sz w:val="24"/>
          <w:szCs w:val="24"/>
        </w:rPr>
        <w:t xml:space="preserve">, there is </w:t>
      </w:r>
      <w:r w:rsidR="002B3BB6">
        <w:rPr>
          <w:rFonts w:asciiTheme="majorBidi" w:hAnsiTheme="majorBidi" w:cstheme="majorBidi"/>
          <w:sz w:val="24"/>
          <w:szCs w:val="24"/>
        </w:rPr>
        <w:t xml:space="preserve">a need </w:t>
      </w:r>
      <w:r w:rsidRPr="007A412B">
        <w:rPr>
          <w:rFonts w:asciiTheme="majorBidi" w:hAnsiTheme="majorBidi" w:cstheme="majorBidi"/>
          <w:sz w:val="24"/>
          <w:szCs w:val="24"/>
        </w:rPr>
        <w:t xml:space="preserve">for more </w:t>
      </w:r>
      <w:r w:rsidR="002B3BB6">
        <w:rPr>
          <w:rFonts w:asciiTheme="majorBidi" w:hAnsiTheme="majorBidi" w:cstheme="majorBidi"/>
          <w:sz w:val="24"/>
          <w:szCs w:val="24"/>
        </w:rPr>
        <w:t xml:space="preserve">effective and better focused </w:t>
      </w:r>
      <w:r w:rsidRPr="007A412B">
        <w:rPr>
          <w:rFonts w:asciiTheme="majorBidi" w:hAnsiTheme="majorBidi" w:cstheme="majorBidi"/>
          <w:sz w:val="24"/>
          <w:szCs w:val="24"/>
        </w:rPr>
        <w:t xml:space="preserve">active labor market policies (including vocational training) and upgrading the childcare and early education systems, which could increase the labor force participation, particularly of women, and help mitigate labor shortages. A targeted and efficient </w:t>
      </w:r>
      <w:r w:rsidRPr="007A412B">
        <w:rPr>
          <w:rFonts w:asciiTheme="majorBidi" w:hAnsiTheme="majorBidi" w:cstheme="majorBidi"/>
          <w:i/>
          <w:sz w:val="24"/>
          <w:szCs w:val="24"/>
        </w:rPr>
        <w:t>public spending on infrastructure</w:t>
      </w:r>
      <w:r w:rsidRPr="007A412B">
        <w:rPr>
          <w:rFonts w:asciiTheme="majorBidi" w:hAnsiTheme="majorBidi" w:cstheme="majorBidi"/>
          <w:sz w:val="24"/>
          <w:szCs w:val="24"/>
        </w:rPr>
        <w:t xml:space="preserve"> and </w:t>
      </w:r>
      <w:r w:rsidRPr="007A412B">
        <w:rPr>
          <w:rFonts w:asciiTheme="majorBidi" w:hAnsiTheme="majorBidi" w:cstheme="majorBidi"/>
          <w:i/>
          <w:sz w:val="24"/>
          <w:szCs w:val="24"/>
        </w:rPr>
        <w:t>R&amp;D support</w:t>
      </w:r>
      <w:r w:rsidRPr="007A412B">
        <w:rPr>
          <w:rFonts w:asciiTheme="majorBidi" w:hAnsiTheme="majorBidi" w:cstheme="majorBidi"/>
          <w:sz w:val="24"/>
          <w:szCs w:val="24"/>
        </w:rPr>
        <w:t xml:space="preserve"> could help boost productivity and private investment. It is important to ensure a level-playing field for all market participants to allow financial resources to be channeled to the most efficient firms.</w:t>
      </w:r>
    </w:p>
    <w:p w14:paraId="723B7465" w14:textId="77777777" w:rsidR="007A412B" w:rsidRPr="007A412B" w:rsidRDefault="007A412B" w:rsidP="007A412B">
      <w:pPr>
        <w:spacing w:line="300" w:lineRule="exact"/>
        <w:rPr>
          <w:rFonts w:asciiTheme="majorBidi" w:hAnsiTheme="majorBidi" w:cstheme="majorBidi"/>
          <w:sz w:val="24"/>
          <w:szCs w:val="24"/>
        </w:rPr>
      </w:pPr>
    </w:p>
    <w:p w14:paraId="6DED3D4D" w14:textId="77777777" w:rsidR="007A412B" w:rsidRPr="007A412B" w:rsidRDefault="007A412B" w:rsidP="007A412B">
      <w:pPr>
        <w:spacing w:line="300" w:lineRule="exact"/>
        <w:rPr>
          <w:rFonts w:asciiTheme="majorBidi" w:hAnsiTheme="majorBidi" w:cstheme="majorBidi"/>
          <w:sz w:val="24"/>
          <w:szCs w:val="24"/>
        </w:rPr>
      </w:pPr>
      <w:r w:rsidRPr="007A412B">
        <w:rPr>
          <w:rFonts w:asciiTheme="majorBidi" w:hAnsiTheme="majorBidi" w:cstheme="majorBidi"/>
          <w:i/>
          <w:iCs/>
          <w:sz w:val="24"/>
          <w:szCs w:val="24"/>
        </w:rPr>
        <w:t>We are grateful to the authorities and private sector interlocutors for candid and constructive discussions.</w:t>
      </w:r>
    </w:p>
    <w:p w14:paraId="0F8D229B" w14:textId="77777777" w:rsidR="00ED006F" w:rsidRPr="00B635BF" w:rsidRDefault="00ED006F" w:rsidP="00326A61">
      <w:pPr>
        <w:tabs>
          <w:tab w:val="num" w:pos="720"/>
        </w:tabs>
        <w:spacing w:after="240"/>
        <w:rPr>
          <w:rFonts w:eastAsiaTheme="minorEastAsia"/>
          <w:sz w:val="24"/>
          <w:szCs w:val="24"/>
          <w:lang w:eastAsia="zh-CN"/>
        </w:rPr>
      </w:pPr>
    </w:p>
    <w:sectPr w:rsidR="00ED006F" w:rsidRPr="00B635BF" w:rsidSect="00EC351D">
      <w:headerReference w:type="even" r:id="rId13"/>
      <w:headerReference w:type="default" r:id="rId14"/>
      <w:headerReference w:type="first" r:id="rId15"/>
      <w:footerReference w:type="first" r:id="rId16"/>
      <w:pgSz w:w="12240" w:h="15840"/>
      <w:pgMar w:top="1800" w:right="1440" w:bottom="1440" w:left="180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6286CB" w14:textId="77777777" w:rsidR="00DE4B76" w:rsidRDefault="00DE4B76">
      <w:r>
        <w:separator/>
      </w:r>
    </w:p>
  </w:endnote>
  <w:endnote w:type="continuationSeparator" w:id="0">
    <w:p w14:paraId="4E1C9148" w14:textId="77777777" w:rsidR="00DE4B76" w:rsidRDefault="00DE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altName w:val="Segoe UI"/>
    <w:panose1 w:val="020B0502040204020203"/>
    <w:charset w:val="00"/>
    <w:family w:val="swiss"/>
    <w:pitch w:val="variable"/>
    <w:sig w:usb0="E10022FF" w:usb1="C000E47F" w:usb2="00000029" w:usb3="00000000" w:csb0="000001D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097AC9" w14:textId="77777777" w:rsidR="00222C1A" w:rsidRDefault="00222C1A">
    <w:pPr>
      <w:pStyle w:val="Stopka"/>
    </w:pPr>
    <w:r>
      <w:rPr>
        <w:noProof/>
        <w:lang w:val="pl-PL" w:eastAsia="pl-PL"/>
      </w:rPr>
      <w:drawing>
        <wp:inline distT="0" distB="0" distL="0" distR="0" wp14:anchorId="2DC40CEE" wp14:editId="5530E47F">
          <wp:extent cx="5676900" cy="304800"/>
          <wp:effectExtent l="19050" t="0" r="0" b="0"/>
          <wp:docPr id="8" name="Picture 2" descr="imf-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f-bot"/>
                  <pic:cNvPicPr>
                    <a:picLocks noChangeAspect="1" noChangeArrowheads="1"/>
                  </pic:cNvPicPr>
                </pic:nvPicPr>
                <pic:blipFill>
                  <a:blip r:embed="rId1"/>
                  <a:srcRect/>
                  <a:stretch>
                    <a:fillRect/>
                  </a:stretch>
                </pic:blipFill>
                <pic:spPr bwMode="auto">
                  <a:xfrm>
                    <a:off x="0" y="0"/>
                    <a:ext cx="5676900" cy="30480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A0554E" w14:textId="77777777" w:rsidR="00DE4B76" w:rsidRDefault="00DE4B76">
      <w:r>
        <w:separator/>
      </w:r>
    </w:p>
  </w:footnote>
  <w:footnote w:type="continuationSeparator" w:id="0">
    <w:p w14:paraId="66F83C35" w14:textId="77777777" w:rsidR="00DE4B76" w:rsidRDefault="00DE4B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8839B" w14:textId="77777777" w:rsidR="00222C1A" w:rsidRDefault="00276697" w:rsidP="00173A9F">
    <w:pPr>
      <w:pStyle w:val="Nagwek"/>
      <w:framePr w:wrap="around" w:vAnchor="text" w:hAnchor="margin" w:xAlign="center" w:y="1"/>
      <w:rPr>
        <w:rStyle w:val="Numerstrony"/>
      </w:rPr>
    </w:pPr>
    <w:r>
      <w:rPr>
        <w:rStyle w:val="Numerstrony"/>
      </w:rPr>
      <w:fldChar w:fldCharType="begin"/>
    </w:r>
    <w:r w:rsidR="00222C1A">
      <w:rPr>
        <w:rStyle w:val="Numerstrony"/>
      </w:rPr>
      <w:instrText xml:space="preserve">PAGE  </w:instrText>
    </w:r>
    <w:r>
      <w:rPr>
        <w:rStyle w:val="Numerstrony"/>
      </w:rPr>
      <w:fldChar w:fldCharType="separate"/>
    </w:r>
    <w:r w:rsidR="00222C1A">
      <w:rPr>
        <w:rStyle w:val="Numerstrony"/>
        <w:noProof/>
      </w:rPr>
      <w:t>1</w:t>
    </w:r>
    <w:r>
      <w:rPr>
        <w:rStyle w:val="Numerstrony"/>
      </w:rPr>
      <w:fldChar w:fldCharType="end"/>
    </w:r>
  </w:p>
  <w:p w14:paraId="11BDAC93" w14:textId="77777777" w:rsidR="00222C1A" w:rsidRDefault="00222C1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ED7A1" w14:textId="2BE69CB6" w:rsidR="00222C1A" w:rsidRDefault="00276697" w:rsidP="00173A9F">
    <w:pPr>
      <w:pStyle w:val="Nagwek"/>
      <w:framePr w:wrap="around" w:vAnchor="text" w:hAnchor="margin" w:xAlign="center" w:y="1"/>
      <w:rPr>
        <w:rStyle w:val="Numerstrony"/>
      </w:rPr>
    </w:pPr>
    <w:r>
      <w:rPr>
        <w:rStyle w:val="Numerstrony"/>
      </w:rPr>
      <w:fldChar w:fldCharType="begin"/>
    </w:r>
    <w:r w:rsidR="00222C1A">
      <w:rPr>
        <w:rStyle w:val="Numerstrony"/>
      </w:rPr>
      <w:instrText xml:space="preserve">PAGE  </w:instrText>
    </w:r>
    <w:r>
      <w:rPr>
        <w:rStyle w:val="Numerstrony"/>
      </w:rPr>
      <w:fldChar w:fldCharType="separate"/>
    </w:r>
    <w:r w:rsidR="00143E8F">
      <w:rPr>
        <w:rStyle w:val="Numerstrony"/>
        <w:noProof/>
      </w:rPr>
      <w:t>4</w:t>
    </w:r>
    <w:r>
      <w:rPr>
        <w:rStyle w:val="Numerstrony"/>
      </w:rPr>
      <w:fldChar w:fldCharType="end"/>
    </w:r>
  </w:p>
  <w:p w14:paraId="73933731" w14:textId="77777777" w:rsidR="00222C1A" w:rsidRDefault="00222C1A">
    <w:pPr>
      <w:pStyle w:val="Nagwek"/>
      <w:tabs>
        <w:tab w:val="clear" w:pos="4320"/>
        <w:tab w:val="center" w:pos="4680"/>
      </w:tabs>
      <w:rPr>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E468E" w14:textId="77777777" w:rsidR="00222C1A" w:rsidRDefault="00222C1A" w:rsidP="00871A9C">
    <w:pPr>
      <w:pStyle w:val="Nagwek"/>
      <w:ind w:left="540"/>
    </w:pPr>
    <w:r w:rsidRPr="00F3494A">
      <w:rPr>
        <w:noProof/>
        <w:lang w:val="pl-PL" w:eastAsia="pl-PL"/>
      </w:rPr>
      <w:drawing>
        <wp:inline distT="0" distB="0" distL="0" distR="0" wp14:anchorId="790297BD" wp14:editId="7384191B">
          <wp:extent cx="4505325" cy="676275"/>
          <wp:effectExtent l="19050" t="0" r="9525" b="0"/>
          <wp:docPr id="7" name="Picture 3" descr="MEC087560:Users:knakagawa:Desktop:COM_PR_Templates:COM_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C087560:Users:knakagawa:Desktop:COM_PR_Templates:COM_Header.png"/>
                  <pic:cNvPicPr>
                    <a:picLocks noChangeAspect="1" noChangeArrowheads="1"/>
                  </pic:cNvPicPr>
                </pic:nvPicPr>
                <pic:blipFill>
                  <a:blip r:embed="rId1">
                    <a:extLst>
                      <a:ext uri="{28A0092B-C50C-407E-A947-70E740481C1C}">
                        <a14:useLocalDpi xmlns:a14="http://schemas.microsoft.com/office/drawing/2010/main" val="0"/>
                      </a:ext>
                    </a:extLst>
                  </a:blip>
                  <a:srcRect r="21167"/>
                  <a:stretch>
                    <a:fillRect/>
                  </a:stretch>
                </pic:blipFill>
                <pic:spPr bwMode="auto">
                  <a:xfrm>
                    <a:off x="0" y="0"/>
                    <a:ext cx="4505325" cy="676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91A0B88"/>
    <w:lvl w:ilvl="0">
      <w:start w:val="1"/>
      <w:numFmt w:val="bullet"/>
      <w:pStyle w:val="Listapunktowana"/>
      <w:lvlText w:val=""/>
      <w:lvlJc w:val="left"/>
      <w:pPr>
        <w:tabs>
          <w:tab w:val="num" w:pos="360"/>
        </w:tabs>
        <w:ind w:left="360" w:hanging="360"/>
      </w:pPr>
      <w:rPr>
        <w:rFonts w:ascii="Symbol" w:hAnsi="Symbol" w:hint="default"/>
      </w:rPr>
    </w:lvl>
  </w:abstractNum>
  <w:abstractNum w:abstractNumId="1">
    <w:nsid w:val="0DF76964"/>
    <w:multiLevelType w:val="hybridMultilevel"/>
    <w:tmpl w:val="AF1E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105CA9"/>
    <w:multiLevelType w:val="hybridMultilevel"/>
    <w:tmpl w:val="31C02244"/>
    <w:lvl w:ilvl="0" w:tplc="3CF28AFA">
      <w:start w:val="1"/>
      <w:numFmt w:val="decimal"/>
      <w:pStyle w:val="ParagraphNumbering"/>
      <w:lvlText w:val="%1.     "/>
      <w:lvlJc w:val="left"/>
      <w:pPr>
        <w:tabs>
          <w:tab w:val="num" w:pos="72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F774D14"/>
    <w:multiLevelType w:val="hybridMultilevel"/>
    <w:tmpl w:val="DF542AB0"/>
    <w:lvl w:ilvl="0" w:tplc="08FACB64">
      <w:start w:val="1"/>
      <w:numFmt w:val="decimal"/>
      <w:lvlText w:val="%1."/>
      <w:lvlJc w:val="left"/>
      <w:pPr>
        <w:ind w:left="720" w:hanging="360"/>
      </w:pPr>
      <w:rPr>
        <w:rFonts w:asciiTheme="majorBidi" w:hAnsiTheme="majorBidi" w:cstheme="majorBidi"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39A24A7A"/>
    <w:multiLevelType w:val="hybridMultilevel"/>
    <w:tmpl w:val="E4029CE8"/>
    <w:lvl w:ilvl="0" w:tplc="0409000F">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
    <w:nsid w:val="70EA15A1"/>
    <w:multiLevelType w:val="multilevel"/>
    <w:tmpl w:val="FAA42BFC"/>
    <w:lvl w:ilvl="0">
      <w:start w:val="1"/>
      <w:numFmt w:val="upperRoman"/>
      <w:pStyle w:val="Nagwek1"/>
      <w:suff w:val="nothing"/>
      <w:lvlText w:val="%1.   "/>
      <w:lvlJc w:val="left"/>
      <w:pPr>
        <w:ind w:left="0" w:firstLine="0"/>
      </w:pPr>
      <w:rPr>
        <w:rFonts w:hint="default"/>
      </w:rPr>
    </w:lvl>
    <w:lvl w:ilvl="1">
      <w:start w:val="1"/>
      <w:numFmt w:val="upperLetter"/>
      <w:pStyle w:val="Nagwek2"/>
      <w:suff w:val="nothing"/>
      <w:lvlText w:val="%2.   "/>
      <w:lvlJc w:val="left"/>
      <w:pPr>
        <w:ind w:left="0" w:firstLine="0"/>
      </w:pPr>
      <w:rPr>
        <w:rFonts w:hint="default"/>
      </w:rPr>
    </w:lvl>
    <w:lvl w:ilvl="2">
      <w:start w:val="1"/>
      <w:numFmt w:val="decimal"/>
      <w:lvlText w:val="%3."/>
      <w:lvlJc w:val="left"/>
      <w:pPr>
        <w:tabs>
          <w:tab w:val="num" w:pos="1080"/>
        </w:tabs>
        <w:ind w:left="720" w:firstLine="0"/>
      </w:pPr>
      <w:rPr>
        <w:rFonts w:hint="default"/>
      </w:rPr>
    </w:lvl>
    <w:lvl w:ilvl="3">
      <w:start w:val="1"/>
      <w:numFmt w:val="lowerLetter"/>
      <w:lvlText w:val="%4)"/>
      <w:lvlJc w:val="left"/>
      <w:pPr>
        <w:tabs>
          <w:tab w:val="num" w:pos="1800"/>
        </w:tabs>
        <w:ind w:left="1440" w:firstLine="0"/>
      </w:pPr>
      <w:rPr>
        <w:rFonts w:hint="default"/>
      </w:rPr>
    </w:lvl>
    <w:lvl w:ilvl="4">
      <w:start w:val="1"/>
      <w:numFmt w:val="decimal"/>
      <w:lvlText w:val="(%5)"/>
      <w:lvlJc w:val="left"/>
      <w:pPr>
        <w:tabs>
          <w:tab w:val="num" w:pos="2520"/>
        </w:tabs>
        <w:ind w:left="2160" w:firstLine="0"/>
      </w:pPr>
      <w:rPr>
        <w:rFonts w:hint="default"/>
      </w:rPr>
    </w:lvl>
    <w:lvl w:ilvl="5">
      <w:start w:val="1"/>
      <w:numFmt w:val="lowerLetter"/>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num w:numId="1">
    <w:abstractNumId w:val="0"/>
  </w:num>
  <w:num w:numId="2">
    <w:abstractNumId w:val="5"/>
  </w:num>
  <w:num w:numId="3">
    <w:abstractNumId w:val="5"/>
  </w:num>
  <w:num w:numId="4">
    <w:abstractNumId w:val="2"/>
  </w:num>
  <w:num w:numId="5">
    <w:abstractNumId w:val="5"/>
  </w:num>
  <w:num w:numId="6">
    <w:abstractNumId w:val="5"/>
  </w:num>
  <w:num w:numId="7">
    <w:abstractNumId w:val="2"/>
  </w:num>
  <w:num w:numId="8">
    <w:abstractNumId w:val="2"/>
  </w:num>
  <w:num w:numId="9">
    <w:abstractNumId w:val="4"/>
  </w:num>
  <w:num w:numId="10">
    <w:abstractNumId w:val="3"/>
  </w:num>
  <w:num w:numId="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lyina, Anna">
    <w15:presenceInfo w15:providerId="None" w15:userId="Ilyina, 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activeWritingStyle w:appName="MSWord" w:lang="pt-BR" w:vendorID="64" w:dllVersion="0" w:nlCheck="1" w:checkStyle="0"/>
  <w:activeWritingStyle w:appName="MSWord" w:lang="en-US" w:vendorID="64" w:dllVersion="0" w:nlCheck="1" w:checkStyle="1"/>
  <w:activeWritingStyle w:appName="MSWord" w:lang="zh-CN" w:vendorID="64" w:dllVersion="0" w:nlCheck="1" w:checkStyle="1"/>
  <w:activeWritingStyle w:appName="MSWord" w:lang="ja-JP" w:vendorID="64" w:dllVersion="0" w:nlCheck="1" w:checkStyle="1"/>
  <w:activeWritingStyle w:appName="MSWord" w:lang="ru-RU" w:vendorID="64" w:dllVersion="0" w:nlCheck="1" w:checkStyle="0"/>
  <w:activeWritingStyle w:appName="MSWord" w:lang="ar-SA" w:vendorID="64" w:dllVersion="0" w:nlCheck="1" w:checkStyle="0"/>
  <w:activeWritingStyle w:appName="MSWord" w:lang="fr-CA" w:vendorID="64" w:dllVersion="0" w:nlCheck="1" w:checkStyle="1"/>
  <w:activeWritingStyle w:appName="MSWord" w:lang="de-DE" w:vendorID="64" w:dllVersion="0" w:nlCheck="1" w:checkStyle="1"/>
  <w:activeWritingStyle w:appName="MSWord" w:lang="fr-FR" w:vendorID="64" w:dllVersion="0" w:nlCheck="1" w:checkStyle="1"/>
  <w:activeWritingStyle w:appName="MSWord" w:lang="es-US" w:vendorID="64" w:dllVersion="0" w:nlCheck="1" w:checkStyle="1"/>
  <w:activeWritingStyle w:appName="MSWord" w:lang="es-ES" w:vendorID="64" w:dllVersion="0"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F4E"/>
    <w:rsid w:val="00007E2B"/>
    <w:rsid w:val="000208DE"/>
    <w:rsid w:val="00020DA6"/>
    <w:rsid w:val="000210BE"/>
    <w:rsid w:val="0002360E"/>
    <w:rsid w:val="000321CB"/>
    <w:rsid w:val="00043026"/>
    <w:rsid w:val="00044F9C"/>
    <w:rsid w:val="00046EE4"/>
    <w:rsid w:val="0004745E"/>
    <w:rsid w:val="0005007D"/>
    <w:rsid w:val="000516C2"/>
    <w:rsid w:val="00067068"/>
    <w:rsid w:val="00076441"/>
    <w:rsid w:val="000A4EAD"/>
    <w:rsid w:val="000B129A"/>
    <w:rsid w:val="000B4EE3"/>
    <w:rsid w:val="000B7645"/>
    <w:rsid w:val="000C1231"/>
    <w:rsid w:val="000C4663"/>
    <w:rsid w:val="000D0305"/>
    <w:rsid w:val="000D36E7"/>
    <w:rsid w:val="000D7F4E"/>
    <w:rsid w:val="000E1EAA"/>
    <w:rsid w:val="000E33BD"/>
    <w:rsid w:val="000E36D6"/>
    <w:rsid w:val="000F0DD2"/>
    <w:rsid w:val="000F4E04"/>
    <w:rsid w:val="000F5673"/>
    <w:rsid w:val="000F6A5C"/>
    <w:rsid w:val="000F7507"/>
    <w:rsid w:val="000F7B4E"/>
    <w:rsid w:val="001111C9"/>
    <w:rsid w:val="00143E8F"/>
    <w:rsid w:val="00144388"/>
    <w:rsid w:val="00150D8A"/>
    <w:rsid w:val="00164485"/>
    <w:rsid w:val="00173A9F"/>
    <w:rsid w:val="00175AB1"/>
    <w:rsid w:val="00177FF1"/>
    <w:rsid w:val="00191C29"/>
    <w:rsid w:val="001A5FAA"/>
    <w:rsid w:val="001B5F00"/>
    <w:rsid w:val="001D6AF9"/>
    <w:rsid w:val="001E131A"/>
    <w:rsid w:val="001E42AD"/>
    <w:rsid w:val="00201C7B"/>
    <w:rsid w:val="0021040C"/>
    <w:rsid w:val="0021779F"/>
    <w:rsid w:val="00222C1A"/>
    <w:rsid w:val="00223204"/>
    <w:rsid w:val="00233A85"/>
    <w:rsid w:val="00243C54"/>
    <w:rsid w:val="0024611B"/>
    <w:rsid w:val="002646ED"/>
    <w:rsid w:val="00276697"/>
    <w:rsid w:val="00282858"/>
    <w:rsid w:val="00292822"/>
    <w:rsid w:val="0029647F"/>
    <w:rsid w:val="002A7181"/>
    <w:rsid w:val="002A7B46"/>
    <w:rsid w:val="002B3BB6"/>
    <w:rsid w:val="002C1D81"/>
    <w:rsid w:val="002C53BC"/>
    <w:rsid w:val="002E7A5F"/>
    <w:rsid w:val="002F0A84"/>
    <w:rsid w:val="002F6143"/>
    <w:rsid w:val="00326A61"/>
    <w:rsid w:val="00350A46"/>
    <w:rsid w:val="003640B7"/>
    <w:rsid w:val="00372445"/>
    <w:rsid w:val="00372C6B"/>
    <w:rsid w:val="0039474A"/>
    <w:rsid w:val="003958D1"/>
    <w:rsid w:val="003A50F5"/>
    <w:rsid w:val="003B6D28"/>
    <w:rsid w:val="003C5FCE"/>
    <w:rsid w:val="003E042D"/>
    <w:rsid w:val="003E32D2"/>
    <w:rsid w:val="003F1492"/>
    <w:rsid w:val="003F2254"/>
    <w:rsid w:val="003F23AD"/>
    <w:rsid w:val="003F7C8E"/>
    <w:rsid w:val="004140C1"/>
    <w:rsid w:val="00415B77"/>
    <w:rsid w:val="0042784E"/>
    <w:rsid w:val="00440058"/>
    <w:rsid w:val="00440949"/>
    <w:rsid w:val="00444599"/>
    <w:rsid w:val="00450420"/>
    <w:rsid w:val="004734A6"/>
    <w:rsid w:val="00482424"/>
    <w:rsid w:val="004C3DBB"/>
    <w:rsid w:val="004D4832"/>
    <w:rsid w:val="004D66E7"/>
    <w:rsid w:val="004D6704"/>
    <w:rsid w:val="004E044B"/>
    <w:rsid w:val="004E1B81"/>
    <w:rsid w:val="004F2BA1"/>
    <w:rsid w:val="00507DAD"/>
    <w:rsid w:val="0051722C"/>
    <w:rsid w:val="005176FA"/>
    <w:rsid w:val="00520B19"/>
    <w:rsid w:val="0053578D"/>
    <w:rsid w:val="00541681"/>
    <w:rsid w:val="005440A7"/>
    <w:rsid w:val="0054550D"/>
    <w:rsid w:val="00566CB6"/>
    <w:rsid w:val="005721B2"/>
    <w:rsid w:val="00581E52"/>
    <w:rsid w:val="005A05EE"/>
    <w:rsid w:val="005A1208"/>
    <w:rsid w:val="005A3C12"/>
    <w:rsid w:val="005A701D"/>
    <w:rsid w:val="005C4FEB"/>
    <w:rsid w:val="005C59F7"/>
    <w:rsid w:val="005D4DBD"/>
    <w:rsid w:val="005F4850"/>
    <w:rsid w:val="005F7BDA"/>
    <w:rsid w:val="00602A07"/>
    <w:rsid w:val="006062A6"/>
    <w:rsid w:val="0060795E"/>
    <w:rsid w:val="00621266"/>
    <w:rsid w:val="0063417F"/>
    <w:rsid w:val="00640BE6"/>
    <w:rsid w:val="006564AB"/>
    <w:rsid w:val="00675D01"/>
    <w:rsid w:val="00681FC3"/>
    <w:rsid w:val="00685FE6"/>
    <w:rsid w:val="006864B3"/>
    <w:rsid w:val="0069026B"/>
    <w:rsid w:val="00693C20"/>
    <w:rsid w:val="006948B0"/>
    <w:rsid w:val="006A312D"/>
    <w:rsid w:val="006A573A"/>
    <w:rsid w:val="006C20E3"/>
    <w:rsid w:val="006C348C"/>
    <w:rsid w:val="006D1832"/>
    <w:rsid w:val="006D461D"/>
    <w:rsid w:val="006D6E18"/>
    <w:rsid w:val="006E4A48"/>
    <w:rsid w:val="006E4AE0"/>
    <w:rsid w:val="00705691"/>
    <w:rsid w:val="00712F44"/>
    <w:rsid w:val="00722711"/>
    <w:rsid w:val="00723EE9"/>
    <w:rsid w:val="00723FFE"/>
    <w:rsid w:val="0072627B"/>
    <w:rsid w:val="00747525"/>
    <w:rsid w:val="007556B8"/>
    <w:rsid w:val="00755C48"/>
    <w:rsid w:val="00757B10"/>
    <w:rsid w:val="007732D3"/>
    <w:rsid w:val="00790609"/>
    <w:rsid w:val="007979D7"/>
    <w:rsid w:val="00797BA7"/>
    <w:rsid w:val="00797E01"/>
    <w:rsid w:val="007A412B"/>
    <w:rsid w:val="007A718D"/>
    <w:rsid w:val="007B604E"/>
    <w:rsid w:val="007D0F01"/>
    <w:rsid w:val="007F150D"/>
    <w:rsid w:val="007F2D02"/>
    <w:rsid w:val="00806C17"/>
    <w:rsid w:val="00817491"/>
    <w:rsid w:val="00821B32"/>
    <w:rsid w:val="008249A4"/>
    <w:rsid w:val="00827B1B"/>
    <w:rsid w:val="00831CAF"/>
    <w:rsid w:val="008526D2"/>
    <w:rsid w:val="0085297C"/>
    <w:rsid w:val="00854846"/>
    <w:rsid w:val="00854AB0"/>
    <w:rsid w:val="00855467"/>
    <w:rsid w:val="008661BD"/>
    <w:rsid w:val="00871A9C"/>
    <w:rsid w:val="0087426D"/>
    <w:rsid w:val="00881757"/>
    <w:rsid w:val="00894312"/>
    <w:rsid w:val="008A2814"/>
    <w:rsid w:val="008A6F8F"/>
    <w:rsid w:val="008C35AF"/>
    <w:rsid w:val="008C7181"/>
    <w:rsid w:val="008D004B"/>
    <w:rsid w:val="008F6973"/>
    <w:rsid w:val="009011F8"/>
    <w:rsid w:val="00901ED0"/>
    <w:rsid w:val="0090244E"/>
    <w:rsid w:val="00903F9E"/>
    <w:rsid w:val="00906192"/>
    <w:rsid w:val="009108C7"/>
    <w:rsid w:val="00923EE9"/>
    <w:rsid w:val="00924028"/>
    <w:rsid w:val="00940504"/>
    <w:rsid w:val="00946454"/>
    <w:rsid w:val="00957850"/>
    <w:rsid w:val="00962983"/>
    <w:rsid w:val="009644DD"/>
    <w:rsid w:val="0096553D"/>
    <w:rsid w:val="00970FBC"/>
    <w:rsid w:val="0097364C"/>
    <w:rsid w:val="009742DB"/>
    <w:rsid w:val="00983271"/>
    <w:rsid w:val="00990588"/>
    <w:rsid w:val="00995594"/>
    <w:rsid w:val="009A05B4"/>
    <w:rsid w:val="009C230F"/>
    <w:rsid w:val="009C2342"/>
    <w:rsid w:val="009C3938"/>
    <w:rsid w:val="009E1E87"/>
    <w:rsid w:val="009F43B9"/>
    <w:rsid w:val="009F5784"/>
    <w:rsid w:val="00A05F6E"/>
    <w:rsid w:val="00A10605"/>
    <w:rsid w:val="00A248E7"/>
    <w:rsid w:val="00A263FC"/>
    <w:rsid w:val="00A26ED4"/>
    <w:rsid w:val="00A31440"/>
    <w:rsid w:val="00A53DF8"/>
    <w:rsid w:val="00A604EA"/>
    <w:rsid w:val="00A83D83"/>
    <w:rsid w:val="00A86683"/>
    <w:rsid w:val="00AB0FF3"/>
    <w:rsid w:val="00AB4083"/>
    <w:rsid w:val="00AC2FD4"/>
    <w:rsid w:val="00AD07A6"/>
    <w:rsid w:val="00AE355D"/>
    <w:rsid w:val="00AE36C7"/>
    <w:rsid w:val="00AF7D5C"/>
    <w:rsid w:val="00B17082"/>
    <w:rsid w:val="00B229AE"/>
    <w:rsid w:val="00B32138"/>
    <w:rsid w:val="00B33E28"/>
    <w:rsid w:val="00B45046"/>
    <w:rsid w:val="00B635BF"/>
    <w:rsid w:val="00B77CDB"/>
    <w:rsid w:val="00B80879"/>
    <w:rsid w:val="00B837BB"/>
    <w:rsid w:val="00B92123"/>
    <w:rsid w:val="00BA59F6"/>
    <w:rsid w:val="00BA6755"/>
    <w:rsid w:val="00BB2142"/>
    <w:rsid w:val="00BB49CA"/>
    <w:rsid w:val="00BB5288"/>
    <w:rsid w:val="00C00BFA"/>
    <w:rsid w:val="00C4085F"/>
    <w:rsid w:val="00C463EA"/>
    <w:rsid w:val="00C55FA6"/>
    <w:rsid w:val="00C57653"/>
    <w:rsid w:val="00C77BBE"/>
    <w:rsid w:val="00C813CE"/>
    <w:rsid w:val="00C84FAA"/>
    <w:rsid w:val="00C86B88"/>
    <w:rsid w:val="00CA157B"/>
    <w:rsid w:val="00CA5A54"/>
    <w:rsid w:val="00CA7DFA"/>
    <w:rsid w:val="00CB299E"/>
    <w:rsid w:val="00CC0176"/>
    <w:rsid w:val="00CC4812"/>
    <w:rsid w:val="00CC55FC"/>
    <w:rsid w:val="00CC6617"/>
    <w:rsid w:val="00CC7327"/>
    <w:rsid w:val="00CD781B"/>
    <w:rsid w:val="00CE08F4"/>
    <w:rsid w:val="00CE46CA"/>
    <w:rsid w:val="00CF596C"/>
    <w:rsid w:val="00D01C3B"/>
    <w:rsid w:val="00D14029"/>
    <w:rsid w:val="00D174F9"/>
    <w:rsid w:val="00D216AB"/>
    <w:rsid w:val="00D470A0"/>
    <w:rsid w:val="00D50DF4"/>
    <w:rsid w:val="00D6185A"/>
    <w:rsid w:val="00D7722B"/>
    <w:rsid w:val="00D83B99"/>
    <w:rsid w:val="00D91DDA"/>
    <w:rsid w:val="00DB61B4"/>
    <w:rsid w:val="00DC2A83"/>
    <w:rsid w:val="00DD02FD"/>
    <w:rsid w:val="00DE0808"/>
    <w:rsid w:val="00DE0E71"/>
    <w:rsid w:val="00DE4B76"/>
    <w:rsid w:val="00DE5D20"/>
    <w:rsid w:val="00E34C19"/>
    <w:rsid w:val="00E40B90"/>
    <w:rsid w:val="00E40EB2"/>
    <w:rsid w:val="00E41F14"/>
    <w:rsid w:val="00E42566"/>
    <w:rsid w:val="00E4396D"/>
    <w:rsid w:val="00E53E61"/>
    <w:rsid w:val="00E64E53"/>
    <w:rsid w:val="00E7482F"/>
    <w:rsid w:val="00E75C25"/>
    <w:rsid w:val="00E9176F"/>
    <w:rsid w:val="00E91CC0"/>
    <w:rsid w:val="00E97B3E"/>
    <w:rsid w:val="00EA16F5"/>
    <w:rsid w:val="00EA31B2"/>
    <w:rsid w:val="00EA358C"/>
    <w:rsid w:val="00EA3888"/>
    <w:rsid w:val="00EC351D"/>
    <w:rsid w:val="00ED006F"/>
    <w:rsid w:val="00ED0B46"/>
    <w:rsid w:val="00ED3291"/>
    <w:rsid w:val="00EE3816"/>
    <w:rsid w:val="00EE4012"/>
    <w:rsid w:val="00EE6741"/>
    <w:rsid w:val="00EF0004"/>
    <w:rsid w:val="00EF1653"/>
    <w:rsid w:val="00EF657D"/>
    <w:rsid w:val="00F0166A"/>
    <w:rsid w:val="00F027A3"/>
    <w:rsid w:val="00F07D2C"/>
    <w:rsid w:val="00F12993"/>
    <w:rsid w:val="00F17CB1"/>
    <w:rsid w:val="00F21EB7"/>
    <w:rsid w:val="00F24CB2"/>
    <w:rsid w:val="00F3159E"/>
    <w:rsid w:val="00F3494A"/>
    <w:rsid w:val="00F35329"/>
    <w:rsid w:val="00F3552E"/>
    <w:rsid w:val="00F36C26"/>
    <w:rsid w:val="00F4145D"/>
    <w:rsid w:val="00F55847"/>
    <w:rsid w:val="00F62245"/>
    <w:rsid w:val="00F6317D"/>
    <w:rsid w:val="00F6340B"/>
    <w:rsid w:val="00F814E5"/>
    <w:rsid w:val="00F86FD8"/>
    <w:rsid w:val="00F87B8F"/>
    <w:rsid w:val="00F936BB"/>
    <w:rsid w:val="00FA0D4F"/>
    <w:rsid w:val="00FA56F7"/>
    <w:rsid w:val="00FA5CC0"/>
    <w:rsid w:val="00FB12B1"/>
    <w:rsid w:val="00FB692E"/>
    <w:rsid w:val="00FC0A89"/>
    <w:rsid w:val="00FD25A7"/>
    <w:rsid w:val="00FE17D1"/>
    <w:rsid w:val="00FE68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A7A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6" w:uiPriority="8"/>
    <w:lsdException w:name="caption" w:qFormat="1"/>
    <w:lsdException w:name="footnote reference" w:uiPriority="8"/>
    <w:lsdException w:name="List Bullet" w:uiPriority="2"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C35AF"/>
  </w:style>
  <w:style w:type="paragraph" w:styleId="Nagwek1">
    <w:name w:val="heading 1"/>
    <w:basedOn w:val="Normalny"/>
    <w:next w:val="Normalny"/>
    <w:qFormat/>
    <w:rsid w:val="002C1D81"/>
    <w:pPr>
      <w:keepNext/>
      <w:numPr>
        <w:numId w:val="6"/>
      </w:numPr>
      <w:spacing w:after="240"/>
      <w:jc w:val="center"/>
      <w:outlineLvl w:val="0"/>
    </w:pPr>
    <w:rPr>
      <w:rFonts w:cs="Arial"/>
      <w:b/>
      <w:bCs/>
      <w:smallCaps/>
      <w:kern w:val="28"/>
      <w:sz w:val="24"/>
      <w:szCs w:val="32"/>
    </w:rPr>
  </w:style>
  <w:style w:type="paragraph" w:styleId="Nagwek2">
    <w:name w:val="heading 2"/>
    <w:basedOn w:val="Normalny"/>
    <w:next w:val="Normalny"/>
    <w:qFormat/>
    <w:rsid w:val="002C1D81"/>
    <w:pPr>
      <w:keepNext/>
      <w:numPr>
        <w:ilvl w:val="1"/>
        <w:numId w:val="6"/>
      </w:numPr>
      <w:spacing w:after="240"/>
      <w:jc w:val="center"/>
      <w:outlineLvl w:val="1"/>
    </w:pPr>
    <w:rPr>
      <w:rFonts w:cs="Arial"/>
      <w:b/>
      <w:bCs/>
      <w:iCs/>
      <w:sz w:val="24"/>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8C35AF"/>
    <w:pPr>
      <w:tabs>
        <w:tab w:val="center" w:pos="4320"/>
        <w:tab w:val="right" w:pos="8640"/>
      </w:tabs>
    </w:pPr>
  </w:style>
  <w:style w:type="character" w:styleId="Numerstrony">
    <w:name w:val="page number"/>
    <w:basedOn w:val="Domylnaczcionkaakapitu"/>
    <w:rsid w:val="008C35AF"/>
  </w:style>
  <w:style w:type="paragraph" w:styleId="Stopka">
    <w:name w:val="footer"/>
    <w:basedOn w:val="Normalny"/>
    <w:rsid w:val="008C35AF"/>
    <w:pPr>
      <w:tabs>
        <w:tab w:val="center" w:pos="4320"/>
        <w:tab w:val="right" w:pos="8640"/>
      </w:tabs>
    </w:pPr>
  </w:style>
  <w:style w:type="paragraph" w:customStyle="1" w:styleId="webdate">
    <w:name w:val="_webdate"/>
    <w:basedOn w:val="Normalny"/>
    <w:rsid w:val="008C35AF"/>
    <w:pPr>
      <w:tabs>
        <w:tab w:val="left" w:pos="-1440"/>
      </w:tabs>
      <w:outlineLvl w:val="0"/>
    </w:pPr>
    <w:rPr>
      <w:snapToGrid w:val="0"/>
      <w:sz w:val="24"/>
    </w:rPr>
  </w:style>
  <w:style w:type="paragraph" w:customStyle="1" w:styleId="Normal1">
    <w:name w:val="Normal1"/>
    <w:basedOn w:val="Normalny"/>
    <w:rsid w:val="008C35AF"/>
    <w:rPr>
      <w:sz w:val="24"/>
    </w:rPr>
  </w:style>
  <w:style w:type="paragraph" w:customStyle="1" w:styleId="Normal2">
    <w:name w:val="Normal2"/>
    <w:basedOn w:val="Normalny"/>
    <w:rsid w:val="008C35AF"/>
    <w:rPr>
      <w:sz w:val="24"/>
    </w:rPr>
  </w:style>
  <w:style w:type="paragraph" w:customStyle="1" w:styleId="Normal3">
    <w:name w:val="Normal3"/>
    <w:basedOn w:val="Normalny"/>
    <w:rsid w:val="008C35AF"/>
    <w:rPr>
      <w:sz w:val="24"/>
    </w:rPr>
  </w:style>
  <w:style w:type="paragraph" w:customStyle="1" w:styleId="Normal4">
    <w:name w:val="Normal4"/>
    <w:basedOn w:val="Normalny"/>
    <w:rsid w:val="008C35AF"/>
    <w:rPr>
      <w:sz w:val="24"/>
    </w:rPr>
  </w:style>
  <w:style w:type="paragraph" w:styleId="Listapunktowana">
    <w:name w:val="List Bullet"/>
    <w:aliases w:val="List Bullet-Richard's,List Bullet Char1 Char Char,List Bullet Char Char Char Char,List Bullet Char Char1,List Bullet Char1 Char,List Bullet Char Char Char,List Bullet Char Char Char Char Char Char Char Char,List Bullet Char2 Char"/>
    <w:basedOn w:val="Normalny"/>
    <w:uiPriority w:val="2"/>
    <w:qFormat/>
    <w:rsid w:val="008C35AF"/>
    <w:pPr>
      <w:numPr>
        <w:numId w:val="1"/>
      </w:numPr>
      <w:tabs>
        <w:tab w:val="clear" w:pos="360"/>
        <w:tab w:val="num" w:pos="720"/>
      </w:tabs>
      <w:spacing w:after="240"/>
      <w:ind w:left="720" w:hanging="720"/>
    </w:pPr>
  </w:style>
  <w:style w:type="paragraph" w:customStyle="1" w:styleId="webexclude">
    <w:name w:val="_webexclude"/>
    <w:basedOn w:val="Normalny"/>
    <w:link w:val="webexcludeChar"/>
    <w:rsid w:val="008C35AF"/>
    <w:pPr>
      <w:tabs>
        <w:tab w:val="left" w:pos="-1440"/>
      </w:tabs>
      <w:outlineLvl w:val="0"/>
    </w:pPr>
    <w:rPr>
      <w:snapToGrid w:val="0"/>
      <w:sz w:val="24"/>
    </w:rPr>
  </w:style>
  <w:style w:type="paragraph" w:customStyle="1" w:styleId="webnumber">
    <w:name w:val="_webnumber"/>
    <w:basedOn w:val="Normalny"/>
    <w:link w:val="webnumberChar"/>
    <w:rsid w:val="008C35AF"/>
    <w:pPr>
      <w:tabs>
        <w:tab w:val="left" w:pos="-1440"/>
      </w:tabs>
      <w:outlineLvl w:val="0"/>
    </w:pPr>
    <w:rPr>
      <w:snapToGrid w:val="0"/>
      <w:sz w:val="24"/>
    </w:rPr>
  </w:style>
  <w:style w:type="paragraph" w:customStyle="1" w:styleId="webTextBox">
    <w:name w:val="_webTextBox"/>
    <w:basedOn w:val="Normalny"/>
    <w:rsid w:val="008C35AF"/>
    <w:pPr>
      <w:framePr w:w="3744" w:wrap="around" w:vAnchor="page" w:hAnchor="page" w:x="6337" w:y="4220"/>
      <w:tabs>
        <w:tab w:val="left" w:pos="-1440"/>
      </w:tabs>
      <w:jc w:val="right"/>
    </w:pPr>
    <w:rPr>
      <w:sz w:val="24"/>
    </w:rPr>
  </w:style>
  <w:style w:type="paragraph" w:customStyle="1" w:styleId="webtitle">
    <w:name w:val="_webtitle"/>
    <w:basedOn w:val="Normalny"/>
    <w:rsid w:val="008C35AF"/>
    <w:pPr>
      <w:tabs>
        <w:tab w:val="left" w:pos="-1440"/>
      </w:tabs>
      <w:outlineLvl w:val="0"/>
    </w:pPr>
    <w:rPr>
      <w:snapToGrid w:val="0"/>
      <w:sz w:val="24"/>
    </w:rPr>
  </w:style>
  <w:style w:type="paragraph" w:customStyle="1" w:styleId="ParagraphNumbering">
    <w:name w:val="Paragraph Numbering"/>
    <w:basedOn w:val="Normalny"/>
    <w:link w:val="ParagraphNumberingChar"/>
    <w:uiPriority w:val="1"/>
    <w:qFormat/>
    <w:rsid w:val="00723EE9"/>
    <w:pPr>
      <w:numPr>
        <w:numId w:val="8"/>
      </w:numPr>
      <w:tabs>
        <w:tab w:val="clear" w:pos="720"/>
        <w:tab w:val="num" w:pos="360"/>
      </w:tabs>
      <w:spacing w:after="240"/>
      <w:ind w:left="360" w:hanging="360"/>
    </w:pPr>
    <w:rPr>
      <w:sz w:val="24"/>
      <w:szCs w:val="24"/>
    </w:rPr>
  </w:style>
  <w:style w:type="paragraph" w:styleId="Tekstdymka">
    <w:name w:val="Balloon Text"/>
    <w:basedOn w:val="Normalny"/>
    <w:link w:val="TekstdymkaZnak"/>
    <w:rsid w:val="008249A4"/>
    <w:rPr>
      <w:rFonts w:ascii="Tahoma" w:hAnsi="Tahoma" w:cs="Tahoma"/>
      <w:sz w:val="16"/>
      <w:szCs w:val="16"/>
    </w:rPr>
  </w:style>
  <w:style w:type="character" w:customStyle="1" w:styleId="TekstdymkaZnak">
    <w:name w:val="Tekst dymka Znak"/>
    <w:basedOn w:val="Domylnaczcionkaakapitu"/>
    <w:link w:val="Tekstdymka"/>
    <w:rsid w:val="008249A4"/>
    <w:rPr>
      <w:rFonts w:ascii="Tahoma" w:hAnsi="Tahoma" w:cs="Tahoma"/>
      <w:sz w:val="16"/>
      <w:szCs w:val="16"/>
    </w:rPr>
  </w:style>
  <w:style w:type="table" w:styleId="Tabela-Siatka">
    <w:name w:val="Table Grid"/>
    <w:basedOn w:val="Standardowy"/>
    <w:uiPriority w:val="39"/>
    <w:rsid w:val="007262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disclaimer">
    <w:name w:val="_webdisclaimer"/>
    <w:qFormat/>
    <w:rsid w:val="00C84FAA"/>
    <w:pPr>
      <w:spacing w:before="60" w:after="60"/>
    </w:pPr>
    <w:rPr>
      <w:rFonts w:cs="Segoe UI"/>
      <w:color w:val="515151"/>
      <w:sz w:val="24"/>
      <w:szCs w:val="24"/>
    </w:rPr>
  </w:style>
  <w:style w:type="character" w:styleId="Hipercze">
    <w:name w:val="Hyperlink"/>
    <w:basedOn w:val="Domylnaczcionkaakapitu"/>
    <w:uiPriority w:val="99"/>
    <w:rsid w:val="003F2254"/>
    <w:rPr>
      <w:color w:val="0000FF" w:themeColor="hyperlink"/>
      <w:u w:val="single"/>
    </w:rPr>
  </w:style>
  <w:style w:type="paragraph" w:styleId="Mapadokumentu">
    <w:name w:val="Document Map"/>
    <w:basedOn w:val="Normalny"/>
    <w:link w:val="MapadokumentuZnak"/>
    <w:rsid w:val="003958D1"/>
    <w:rPr>
      <w:rFonts w:ascii="Tahoma" w:hAnsi="Tahoma" w:cs="Tahoma"/>
      <w:sz w:val="16"/>
      <w:szCs w:val="16"/>
    </w:rPr>
  </w:style>
  <w:style w:type="character" w:customStyle="1" w:styleId="MapadokumentuZnak">
    <w:name w:val="Mapa dokumentu Znak"/>
    <w:basedOn w:val="Domylnaczcionkaakapitu"/>
    <w:link w:val="Mapadokumentu"/>
    <w:rsid w:val="003958D1"/>
    <w:rPr>
      <w:rFonts w:ascii="Tahoma" w:hAnsi="Tahoma" w:cs="Tahoma"/>
      <w:sz w:val="16"/>
      <w:szCs w:val="16"/>
    </w:rPr>
  </w:style>
  <w:style w:type="character" w:customStyle="1" w:styleId="webexcludeChar">
    <w:name w:val="_webexclude Char"/>
    <w:basedOn w:val="Domylnaczcionkaakapitu"/>
    <w:link w:val="webexclude"/>
    <w:rsid w:val="004140C1"/>
    <w:rPr>
      <w:snapToGrid w:val="0"/>
      <w:sz w:val="24"/>
    </w:rPr>
  </w:style>
  <w:style w:type="character" w:customStyle="1" w:styleId="webnumberChar">
    <w:name w:val="_webnumber Char"/>
    <w:basedOn w:val="Domylnaczcionkaakapitu"/>
    <w:link w:val="webnumber"/>
    <w:rsid w:val="004140C1"/>
    <w:rPr>
      <w:snapToGrid w:val="0"/>
      <w:sz w:val="24"/>
    </w:rPr>
  </w:style>
  <w:style w:type="paragraph" w:styleId="Tytu">
    <w:name w:val="Title"/>
    <w:basedOn w:val="Normalny"/>
    <w:link w:val="TytuZnak"/>
    <w:qFormat/>
    <w:rsid w:val="002646ED"/>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2646ED"/>
    <w:rPr>
      <w:rFonts w:ascii="Arial" w:hAnsi="Arial" w:cs="Arial"/>
      <w:b/>
      <w:bCs/>
      <w:kern w:val="28"/>
      <w:sz w:val="32"/>
      <w:szCs w:val="32"/>
    </w:rPr>
  </w:style>
  <w:style w:type="paragraph" w:styleId="Spistreci6">
    <w:name w:val="toc 6"/>
    <w:basedOn w:val="Normalny"/>
    <w:next w:val="Normalny"/>
    <w:uiPriority w:val="8"/>
    <w:rsid w:val="00FE68DA"/>
    <w:pPr>
      <w:spacing w:line="264" w:lineRule="auto"/>
      <w:ind w:left="1200"/>
    </w:pPr>
    <w:rPr>
      <w:rFonts w:eastAsiaTheme="minorHAnsi"/>
      <w:sz w:val="24"/>
      <w:szCs w:val="24"/>
    </w:rPr>
  </w:style>
  <w:style w:type="paragraph" w:styleId="Akapitzlist">
    <w:name w:val="List Paragraph"/>
    <w:basedOn w:val="Normalny"/>
    <w:uiPriority w:val="34"/>
    <w:qFormat/>
    <w:rsid w:val="000D7F4E"/>
    <w:pPr>
      <w:ind w:left="720"/>
      <w:contextualSpacing/>
    </w:pPr>
  </w:style>
  <w:style w:type="character" w:customStyle="1" w:styleId="ParagraphNumberingChar">
    <w:name w:val="Paragraph Numbering Char"/>
    <w:basedOn w:val="Domylnaczcionkaakapitu"/>
    <w:link w:val="ParagraphNumbering"/>
    <w:uiPriority w:val="1"/>
    <w:rsid w:val="000D0305"/>
    <w:rPr>
      <w:sz w:val="24"/>
      <w:szCs w:val="24"/>
    </w:rPr>
  </w:style>
  <w:style w:type="character" w:styleId="Odwoaniedokomentarza">
    <w:name w:val="annotation reference"/>
    <w:basedOn w:val="Domylnaczcionkaakapitu"/>
    <w:semiHidden/>
    <w:unhideWhenUsed/>
    <w:rsid w:val="00A248E7"/>
    <w:rPr>
      <w:sz w:val="16"/>
      <w:szCs w:val="16"/>
    </w:rPr>
  </w:style>
  <w:style w:type="paragraph" w:styleId="Tekstkomentarza">
    <w:name w:val="annotation text"/>
    <w:basedOn w:val="Normalny"/>
    <w:link w:val="TekstkomentarzaZnak"/>
    <w:semiHidden/>
    <w:unhideWhenUsed/>
    <w:rsid w:val="00A248E7"/>
  </w:style>
  <w:style w:type="character" w:customStyle="1" w:styleId="TekstkomentarzaZnak">
    <w:name w:val="Tekst komentarza Znak"/>
    <w:basedOn w:val="Domylnaczcionkaakapitu"/>
    <w:link w:val="Tekstkomentarza"/>
    <w:semiHidden/>
    <w:rsid w:val="00A248E7"/>
  </w:style>
  <w:style w:type="paragraph" w:styleId="Tematkomentarza">
    <w:name w:val="annotation subject"/>
    <w:basedOn w:val="Tekstkomentarza"/>
    <w:next w:val="Tekstkomentarza"/>
    <w:link w:val="TematkomentarzaZnak"/>
    <w:semiHidden/>
    <w:unhideWhenUsed/>
    <w:rsid w:val="00A248E7"/>
    <w:rPr>
      <w:b/>
      <w:bCs/>
    </w:rPr>
  </w:style>
  <w:style w:type="character" w:customStyle="1" w:styleId="TematkomentarzaZnak">
    <w:name w:val="Temat komentarza Znak"/>
    <w:basedOn w:val="TekstkomentarzaZnak"/>
    <w:link w:val="Tematkomentarza"/>
    <w:semiHidden/>
    <w:rsid w:val="00A248E7"/>
    <w:rPr>
      <w:b/>
      <w:bCs/>
    </w:rPr>
  </w:style>
  <w:style w:type="character" w:styleId="Odwoanieprzypisudolnego">
    <w:name w:val="footnote reference"/>
    <w:basedOn w:val="Domylnaczcionkaakapitu"/>
    <w:uiPriority w:val="8"/>
    <w:rsid w:val="007A412B"/>
    <w:rPr>
      <w:rFonts w:cs="Times New Roman"/>
      <w:sz w:val="2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6" w:uiPriority="8"/>
    <w:lsdException w:name="caption" w:qFormat="1"/>
    <w:lsdException w:name="footnote reference" w:uiPriority="8"/>
    <w:lsdException w:name="List Bullet" w:uiPriority="2"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C35AF"/>
  </w:style>
  <w:style w:type="paragraph" w:styleId="Nagwek1">
    <w:name w:val="heading 1"/>
    <w:basedOn w:val="Normalny"/>
    <w:next w:val="Normalny"/>
    <w:qFormat/>
    <w:rsid w:val="002C1D81"/>
    <w:pPr>
      <w:keepNext/>
      <w:numPr>
        <w:numId w:val="6"/>
      </w:numPr>
      <w:spacing w:after="240"/>
      <w:jc w:val="center"/>
      <w:outlineLvl w:val="0"/>
    </w:pPr>
    <w:rPr>
      <w:rFonts w:cs="Arial"/>
      <w:b/>
      <w:bCs/>
      <w:smallCaps/>
      <w:kern w:val="28"/>
      <w:sz w:val="24"/>
      <w:szCs w:val="32"/>
    </w:rPr>
  </w:style>
  <w:style w:type="paragraph" w:styleId="Nagwek2">
    <w:name w:val="heading 2"/>
    <w:basedOn w:val="Normalny"/>
    <w:next w:val="Normalny"/>
    <w:qFormat/>
    <w:rsid w:val="002C1D81"/>
    <w:pPr>
      <w:keepNext/>
      <w:numPr>
        <w:ilvl w:val="1"/>
        <w:numId w:val="6"/>
      </w:numPr>
      <w:spacing w:after="240"/>
      <w:jc w:val="center"/>
      <w:outlineLvl w:val="1"/>
    </w:pPr>
    <w:rPr>
      <w:rFonts w:cs="Arial"/>
      <w:b/>
      <w:bCs/>
      <w:iCs/>
      <w:sz w:val="24"/>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8C35AF"/>
    <w:pPr>
      <w:tabs>
        <w:tab w:val="center" w:pos="4320"/>
        <w:tab w:val="right" w:pos="8640"/>
      </w:tabs>
    </w:pPr>
  </w:style>
  <w:style w:type="character" w:styleId="Numerstrony">
    <w:name w:val="page number"/>
    <w:basedOn w:val="Domylnaczcionkaakapitu"/>
    <w:rsid w:val="008C35AF"/>
  </w:style>
  <w:style w:type="paragraph" w:styleId="Stopka">
    <w:name w:val="footer"/>
    <w:basedOn w:val="Normalny"/>
    <w:rsid w:val="008C35AF"/>
    <w:pPr>
      <w:tabs>
        <w:tab w:val="center" w:pos="4320"/>
        <w:tab w:val="right" w:pos="8640"/>
      </w:tabs>
    </w:pPr>
  </w:style>
  <w:style w:type="paragraph" w:customStyle="1" w:styleId="webdate">
    <w:name w:val="_webdate"/>
    <w:basedOn w:val="Normalny"/>
    <w:rsid w:val="008C35AF"/>
    <w:pPr>
      <w:tabs>
        <w:tab w:val="left" w:pos="-1440"/>
      </w:tabs>
      <w:outlineLvl w:val="0"/>
    </w:pPr>
    <w:rPr>
      <w:snapToGrid w:val="0"/>
      <w:sz w:val="24"/>
    </w:rPr>
  </w:style>
  <w:style w:type="paragraph" w:customStyle="1" w:styleId="Normal1">
    <w:name w:val="Normal1"/>
    <w:basedOn w:val="Normalny"/>
    <w:rsid w:val="008C35AF"/>
    <w:rPr>
      <w:sz w:val="24"/>
    </w:rPr>
  </w:style>
  <w:style w:type="paragraph" w:customStyle="1" w:styleId="Normal2">
    <w:name w:val="Normal2"/>
    <w:basedOn w:val="Normalny"/>
    <w:rsid w:val="008C35AF"/>
    <w:rPr>
      <w:sz w:val="24"/>
    </w:rPr>
  </w:style>
  <w:style w:type="paragraph" w:customStyle="1" w:styleId="Normal3">
    <w:name w:val="Normal3"/>
    <w:basedOn w:val="Normalny"/>
    <w:rsid w:val="008C35AF"/>
    <w:rPr>
      <w:sz w:val="24"/>
    </w:rPr>
  </w:style>
  <w:style w:type="paragraph" w:customStyle="1" w:styleId="Normal4">
    <w:name w:val="Normal4"/>
    <w:basedOn w:val="Normalny"/>
    <w:rsid w:val="008C35AF"/>
    <w:rPr>
      <w:sz w:val="24"/>
    </w:rPr>
  </w:style>
  <w:style w:type="paragraph" w:styleId="Listapunktowana">
    <w:name w:val="List Bullet"/>
    <w:aliases w:val="List Bullet-Richard's,List Bullet Char1 Char Char,List Bullet Char Char Char Char,List Bullet Char Char1,List Bullet Char1 Char,List Bullet Char Char Char,List Bullet Char Char Char Char Char Char Char Char,List Bullet Char2 Char"/>
    <w:basedOn w:val="Normalny"/>
    <w:uiPriority w:val="2"/>
    <w:qFormat/>
    <w:rsid w:val="008C35AF"/>
    <w:pPr>
      <w:numPr>
        <w:numId w:val="1"/>
      </w:numPr>
      <w:tabs>
        <w:tab w:val="clear" w:pos="360"/>
        <w:tab w:val="num" w:pos="720"/>
      </w:tabs>
      <w:spacing w:after="240"/>
      <w:ind w:left="720" w:hanging="720"/>
    </w:pPr>
  </w:style>
  <w:style w:type="paragraph" w:customStyle="1" w:styleId="webexclude">
    <w:name w:val="_webexclude"/>
    <w:basedOn w:val="Normalny"/>
    <w:link w:val="webexcludeChar"/>
    <w:rsid w:val="008C35AF"/>
    <w:pPr>
      <w:tabs>
        <w:tab w:val="left" w:pos="-1440"/>
      </w:tabs>
      <w:outlineLvl w:val="0"/>
    </w:pPr>
    <w:rPr>
      <w:snapToGrid w:val="0"/>
      <w:sz w:val="24"/>
    </w:rPr>
  </w:style>
  <w:style w:type="paragraph" w:customStyle="1" w:styleId="webnumber">
    <w:name w:val="_webnumber"/>
    <w:basedOn w:val="Normalny"/>
    <w:link w:val="webnumberChar"/>
    <w:rsid w:val="008C35AF"/>
    <w:pPr>
      <w:tabs>
        <w:tab w:val="left" w:pos="-1440"/>
      </w:tabs>
      <w:outlineLvl w:val="0"/>
    </w:pPr>
    <w:rPr>
      <w:snapToGrid w:val="0"/>
      <w:sz w:val="24"/>
    </w:rPr>
  </w:style>
  <w:style w:type="paragraph" w:customStyle="1" w:styleId="webTextBox">
    <w:name w:val="_webTextBox"/>
    <w:basedOn w:val="Normalny"/>
    <w:rsid w:val="008C35AF"/>
    <w:pPr>
      <w:framePr w:w="3744" w:wrap="around" w:vAnchor="page" w:hAnchor="page" w:x="6337" w:y="4220"/>
      <w:tabs>
        <w:tab w:val="left" w:pos="-1440"/>
      </w:tabs>
      <w:jc w:val="right"/>
    </w:pPr>
    <w:rPr>
      <w:sz w:val="24"/>
    </w:rPr>
  </w:style>
  <w:style w:type="paragraph" w:customStyle="1" w:styleId="webtitle">
    <w:name w:val="_webtitle"/>
    <w:basedOn w:val="Normalny"/>
    <w:rsid w:val="008C35AF"/>
    <w:pPr>
      <w:tabs>
        <w:tab w:val="left" w:pos="-1440"/>
      </w:tabs>
      <w:outlineLvl w:val="0"/>
    </w:pPr>
    <w:rPr>
      <w:snapToGrid w:val="0"/>
      <w:sz w:val="24"/>
    </w:rPr>
  </w:style>
  <w:style w:type="paragraph" w:customStyle="1" w:styleId="ParagraphNumbering">
    <w:name w:val="Paragraph Numbering"/>
    <w:basedOn w:val="Normalny"/>
    <w:link w:val="ParagraphNumberingChar"/>
    <w:uiPriority w:val="1"/>
    <w:qFormat/>
    <w:rsid w:val="00723EE9"/>
    <w:pPr>
      <w:numPr>
        <w:numId w:val="8"/>
      </w:numPr>
      <w:tabs>
        <w:tab w:val="clear" w:pos="720"/>
        <w:tab w:val="num" w:pos="360"/>
      </w:tabs>
      <w:spacing w:after="240"/>
      <w:ind w:left="360" w:hanging="360"/>
    </w:pPr>
    <w:rPr>
      <w:sz w:val="24"/>
      <w:szCs w:val="24"/>
    </w:rPr>
  </w:style>
  <w:style w:type="paragraph" w:styleId="Tekstdymka">
    <w:name w:val="Balloon Text"/>
    <w:basedOn w:val="Normalny"/>
    <w:link w:val="TekstdymkaZnak"/>
    <w:rsid w:val="008249A4"/>
    <w:rPr>
      <w:rFonts w:ascii="Tahoma" w:hAnsi="Tahoma" w:cs="Tahoma"/>
      <w:sz w:val="16"/>
      <w:szCs w:val="16"/>
    </w:rPr>
  </w:style>
  <w:style w:type="character" w:customStyle="1" w:styleId="TekstdymkaZnak">
    <w:name w:val="Tekst dymka Znak"/>
    <w:basedOn w:val="Domylnaczcionkaakapitu"/>
    <w:link w:val="Tekstdymka"/>
    <w:rsid w:val="008249A4"/>
    <w:rPr>
      <w:rFonts w:ascii="Tahoma" w:hAnsi="Tahoma" w:cs="Tahoma"/>
      <w:sz w:val="16"/>
      <w:szCs w:val="16"/>
    </w:rPr>
  </w:style>
  <w:style w:type="table" w:styleId="Tabela-Siatka">
    <w:name w:val="Table Grid"/>
    <w:basedOn w:val="Standardowy"/>
    <w:uiPriority w:val="39"/>
    <w:rsid w:val="007262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disclaimer">
    <w:name w:val="_webdisclaimer"/>
    <w:qFormat/>
    <w:rsid w:val="00C84FAA"/>
    <w:pPr>
      <w:spacing w:before="60" w:after="60"/>
    </w:pPr>
    <w:rPr>
      <w:rFonts w:cs="Segoe UI"/>
      <w:color w:val="515151"/>
      <w:sz w:val="24"/>
      <w:szCs w:val="24"/>
    </w:rPr>
  </w:style>
  <w:style w:type="character" w:styleId="Hipercze">
    <w:name w:val="Hyperlink"/>
    <w:basedOn w:val="Domylnaczcionkaakapitu"/>
    <w:uiPriority w:val="99"/>
    <w:rsid w:val="003F2254"/>
    <w:rPr>
      <w:color w:val="0000FF" w:themeColor="hyperlink"/>
      <w:u w:val="single"/>
    </w:rPr>
  </w:style>
  <w:style w:type="paragraph" w:styleId="Mapadokumentu">
    <w:name w:val="Document Map"/>
    <w:basedOn w:val="Normalny"/>
    <w:link w:val="MapadokumentuZnak"/>
    <w:rsid w:val="003958D1"/>
    <w:rPr>
      <w:rFonts w:ascii="Tahoma" w:hAnsi="Tahoma" w:cs="Tahoma"/>
      <w:sz w:val="16"/>
      <w:szCs w:val="16"/>
    </w:rPr>
  </w:style>
  <w:style w:type="character" w:customStyle="1" w:styleId="MapadokumentuZnak">
    <w:name w:val="Mapa dokumentu Znak"/>
    <w:basedOn w:val="Domylnaczcionkaakapitu"/>
    <w:link w:val="Mapadokumentu"/>
    <w:rsid w:val="003958D1"/>
    <w:rPr>
      <w:rFonts w:ascii="Tahoma" w:hAnsi="Tahoma" w:cs="Tahoma"/>
      <w:sz w:val="16"/>
      <w:szCs w:val="16"/>
    </w:rPr>
  </w:style>
  <w:style w:type="character" w:customStyle="1" w:styleId="webexcludeChar">
    <w:name w:val="_webexclude Char"/>
    <w:basedOn w:val="Domylnaczcionkaakapitu"/>
    <w:link w:val="webexclude"/>
    <w:rsid w:val="004140C1"/>
    <w:rPr>
      <w:snapToGrid w:val="0"/>
      <w:sz w:val="24"/>
    </w:rPr>
  </w:style>
  <w:style w:type="character" w:customStyle="1" w:styleId="webnumberChar">
    <w:name w:val="_webnumber Char"/>
    <w:basedOn w:val="Domylnaczcionkaakapitu"/>
    <w:link w:val="webnumber"/>
    <w:rsid w:val="004140C1"/>
    <w:rPr>
      <w:snapToGrid w:val="0"/>
      <w:sz w:val="24"/>
    </w:rPr>
  </w:style>
  <w:style w:type="paragraph" w:styleId="Tytu">
    <w:name w:val="Title"/>
    <w:basedOn w:val="Normalny"/>
    <w:link w:val="TytuZnak"/>
    <w:qFormat/>
    <w:rsid w:val="002646ED"/>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2646ED"/>
    <w:rPr>
      <w:rFonts w:ascii="Arial" w:hAnsi="Arial" w:cs="Arial"/>
      <w:b/>
      <w:bCs/>
      <w:kern w:val="28"/>
      <w:sz w:val="32"/>
      <w:szCs w:val="32"/>
    </w:rPr>
  </w:style>
  <w:style w:type="paragraph" w:styleId="Spistreci6">
    <w:name w:val="toc 6"/>
    <w:basedOn w:val="Normalny"/>
    <w:next w:val="Normalny"/>
    <w:uiPriority w:val="8"/>
    <w:rsid w:val="00FE68DA"/>
    <w:pPr>
      <w:spacing w:line="264" w:lineRule="auto"/>
      <w:ind w:left="1200"/>
    </w:pPr>
    <w:rPr>
      <w:rFonts w:eastAsiaTheme="minorHAnsi"/>
      <w:sz w:val="24"/>
      <w:szCs w:val="24"/>
    </w:rPr>
  </w:style>
  <w:style w:type="paragraph" w:styleId="Akapitzlist">
    <w:name w:val="List Paragraph"/>
    <w:basedOn w:val="Normalny"/>
    <w:uiPriority w:val="34"/>
    <w:qFormat/>
    <w:rsid w:val="000D7F4E"/>
    <w:pPr>
      <w:ind w:left="720"/>
      <w:contextualSpacing/>
    </w:pPr>
  </w:style>
  <w:style w:type="character" w:customStyle="1" w:styleId="ParagraphNumberingChar">
    <w:name w:val="Paragraph Numbering Char"/>
    <w:basedOn w:val="Domylnaczcionkaakapitu"/>
    <w:link w:val="ParagraphNumbering"/>
    <w:uiPriority w:val="1"/>
    <w:rsid w:val="000D0305"/>
    <w:rPr>
      <w:sz w:val="24"/>
      <w:szCs w:val="24"/>
    </w:rPr>
  </w:style>
  <w:style w:type="character" w:styleId="Odwoaniedokomentarza">
    <w:name w:val="annotation reference"/>
    <w:basedOn w:val="Domylnaczcionkaakapitu"/>
    <w:semiHidden/>
    <w:unhideWhenUsed/>
    <w:rsid w:val="00A248E7"/>
    <w:rPr>
      <w:sz w:val="16"/>
      <w:szCs w:val="16"/>
    </w:rPr>
  </w:style>
  <w:style w:type="paragraph" w:styleId="Tekstkomentarza">
    <w:name w:val="annotation text"/>
    <w:basedOn w:val="Normalny"/>
    <w:link w:val="TekstkomentarzaZnak"/>
    <w:semiHidden/>
    <w:unhideWhenUsed/>
    <w:rsid w:val="00A248E7"/>
  </w:style>
  <w:style w:type="character" w:customStyle="1" w:styleId="TekstkomentarzaZnak">
    <w:name w:val="Tekst komentarza Znak"/>
    <w:basedOn w:val="Domylnaczcionkaakapitu"/>
    <w:link w:val="Tekstkomentarza"/>
    <w:semiHidden/>
    <w:rsid w:val="00A248E7"/>
  </w:style>
  <w:style w:type="paragraph" w:styleId="Tematkomentarza">
    <w:name w:val="annotation subject"/>
    <w:basedOn w:val="Tekstkomentarza"/>
    <w:next w:val="Tekstkomentarza"/>
    <w:link w:val="TematkomentarzaZnak"/>
    <w:semiHidden/>
    <w:unhideWhenUsed/>
    <w:rsid w:val="00A248E7"/>
    <w:rPr>
      <w:b/>
      <w:bCs/>
    </w:rPr>
  </w:style>
  <w:style w:type="character" w:customStyle="1" w:styleId="TematkomentarzaZnak">
    <w:name w:val="Temat komentarza Znak"/>
    <w:basedOn w:val="TekstkomentarzaZnak"/>
    <w:link w:val="Tematkomentarza"/>
    <w:semiHidden/>
    <w:rsid w:val="00A248E7"/>
    <w:rPr>
      <w:b/>
      <w:bCs/>
    </w:rPr>
  </w:style>
  <w:style w:type="character" w:styleId="Odwoanieprzypisudolnego">
    <w:name w:val="footnote reference"/>
    <w:basedOn w:val="Domylnaczcionkaakapitu"/>
    <w:uiPriority w:val="8"/>
    <w:rsid w:val="007A412B"/>
    <w:rPr>
      <w:rFonts w:cs="Times New Roman"/>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imf.org/external/pubs/ft/aa/aa04.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2015\root\office15\IMF%20Templates\Concluding%20Statement%20Article%20IV%20or%20PP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9067CECD75F6488A011E7E877B7216" ma:contentTypeVersion="1" ma:contentTypeDescription="Create a new document." ma:contentTypeScope="" ma:versionID="5a908b925954f3a71ec8a38a2003ab54">
  <xsd:schema xmlns:xsd="http://www.w3.org/2001/XMLSchema" xmlns:p="http://schemas.microsoft.com/office/2006/metadata/properties" xmlns:ns2="34f70b63-4224-473b-ac88-56a1c963a1de" targetNamespace="http://schemas.microsoft.com/office/2006/metadata/properties" ma:root="true" ma:fieldsID="53abafd6a61f8307bce6f3b62a13b149" ns2:_="">
    <xsd:import namespace="34f70b63-4224-473b-ac88-56a1c963a1de"/>
    <xsd:element name="properties">
      <xsd:complexType>
        <xsd:sequence>
          <xsd:element name="documentManagement">
            <xsd:complexType>
              <xsd:all>
                <xsd:element ref="ns2:Frequently_x0020_Used" minOccurs="0"/>
              </xsd:all>
            </xsd:complexType>
          </xsd:element>
        </xsd:sequence>
      </xsd:complexType>
    </xsd:element>
  </xsd:schema>
  <xsd:schema xmlns:xsd="http://www.w3.org/2001/XMLSchema" xmlns:dms="http://schemas.microsoft.com/office/2006/documentManagement/types" targetNamespace="34f70b63-4224-473b-ac88-56a1c963a1de" elementFormDefault="qualified">
    <xsd:import namespace="http://schemas.microsoft.com/office/2006/documentManagement/types"/>
    <xsd:element name="Frequently_x0020_Used" ma:index="8" nillable="true" ma:displayName="Frequently Used" ma:description="Templates Used most often." ma:internalName="Frequently_x0020_Us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Frequently_x0020_Used xmlns="34f70b63-4224-473b-ac88-56a1c963a1de"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C4F335-BBBA-4B02-B631-AAEFF92623E7}">
  <ds:schemaRefs>
    <ds:schemaRef ds:uri="http://schemas.microsoft.com/sharepoint/v3/contenttype/forms"/>
  </ds:schemaRefs>
</ds:datastoreItem>
</file>

<file path=customXml/itemProps2.xml><?xml version="1.0" encoding="utf-8"?>
<ds:datastoreItem xmlns:ds="http://schemas.openxmlformats.org/officeDocument/2006/customXml" ds:itemID="{4194EE89-8D5C-4EDB-9156-CE24DFCA9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f70b63-4224-473b-ac88-56a1c963a1d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6D30F2B-9FAB-47D3-92DB-DB4BBD24A902}">
  <ds:schemaRefs>
    <ds:schemaRef ds:uri="http://schemas.microsoft.com/office/2006/metadata/properties"/>
    <ds:schemaRef ds:uri="34f70b63-4224-473b-ac88-56a1c963a1de"/>
  </ds:schemaRefs>
</ds:datastoreItem>
</file>

<file path=customXml/itemProps4.xml><?xml version="1.0" encoding="utf-8"?>
<ds:datastoreItem xmlns:ds="http://schemas.openxmlformats.org/officeDocument/2006/customXml" ds:itemID="{29A9F433-9E74-4CF7-87AB-AF095A1A9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Concluding Statement Article IV or PPM.dotm</Template>
  <TotalTime>1</TotalTime>
  <Pages>4</Pages>
  <Words>1705</Words>
  <Characters>10232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Press Release-Concluding Statement AIV PPM</vt:lpstr>
    </vt:vector>
  </TitlesOfParts>
  <Company>IMF</Company>
  <LinksUpToDate>false</LinksUpToDate>
  <CharactersWithSpaces>11914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Release-Concluding Statement AIV PPM</dc:title>
  <dc:creator>Wiktor Krzyzanowski</dc:creator>
  <cp:keywords>IMF</cp:keywords>
  <dc:description>Template used Fund-wide for producing press releases.</dc:description>
  <cp:lastModifiedBy>Frankiewicz, Damian</cp:lastModifiedBy>
  <cp:revision>3</cp:revision>
  <cp:lastPrinted>2001-10-31T18:14:00Z</cp:lastPrinted>
  <dcterms:created xsi:type="dcterms:W3CDTF">2017-05-18T10:27:00Z</dcterms:created>
  <dcterms:modified xsi:type="dcterms:W3CDTF">2017-05-18T11:18:00Z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0x0101002C9067CECD75F6488A011E7E877B7216</vt:lpwstr>
  </property>
  <property fmtid="{D5CDD505-2E9C-101B-9397-08002B2CF9AE}" pid="4" name="_NewReviewCycle">
    <vt:lpwstr/>
  </property>
</Properties>
</file>